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22" w:rsidRPr="00090E8F" w:rsidRDefault="00BA7722" w:rsidP="00090E8F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90E8F">
        <w:rPr>
          <w:rFonts w:ascii="方正小标宋简体" w:eastAsia="方正小标宋简体" w:hint="eastAsia"/>
          <w:sz w:val="44"/>
          <w:szCs w:val="44"/>
        </w:rPr>
        <w:t>关于公开选调台州市医疗保障局</w:t>
      </w:r>
      <w:r w:rsidR="00090E8F">
        <w:rPr>
          <w:rFonts w:ascii="方正小标宋简体" w:eastAsia="方正小标宋简体"/>
          <w:sz w:val="44"/>
          <w:szCs w:val="44"/>
        </w:rPr>
        <w:br/>
      </w:r>
      <w:r w:rsidRPr="00090E8F">
        <w:rPr>
          <w:rFonts w:ascii="方正小标宋简体" w:eastAsia="方正小标宋简体" w:hint="eastAsia"/>
          <w:sz w:val="44"/>
          <w:szCs w:val="44"/>
        </w:rPr>
        <w:t>下属参公事业单位工作人员的</w:t>
      </w:r>
      <w:r w:rsidR="00090E8F">
        <w:rPr>
          <w:rFonts w:ascii="方正小标宋简体" w:eastAsia="方正小标宋简体" w:hint="eastAsia"/>
          <w:sz w:val="44"/>
          <w:szCs w:val="44"/>
        </w:rPr>
        <w:t>公告</w:t>
      </w:r>
    </w:p>
    <w:p w:rsidR="00090E8F" w:rsidRDefault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:rsidR="00303B13" w:rsidRPr="00090E8F" w:rsidRDefault="00BA7722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根据工作需要，</w:t>
      </w:r>
      <w:r w:rsidR="00303B13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按照《公务员法》及有关规定，台州市医疗保障局下属参公事业</w:t>
      </w:r>
      <w:r w:rsidR="00680474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单位台州市医疗保险服务中心</w:t>
      </w:r>
      <w:r w:rsidR="00303B13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决定面向全市公开选调工作人员。现将有关事项公告如下：</w:t>
      </w:r>
    </w:p>
    <w:p w:rsidR="00303B13" w:rsidRPr="00303B13" w:rsidRDefault="00303B13" w:rsidP="00090E8F">
      <w:pPr>
        <w:widowControl/>
        <w:shd w:val="clear" w:color="auto" w:fill="FFFFFF"/>
        <w:spacing w:line="36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90E8F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一、选调计划</w:t>
      </w:r>
    </w:p>
    <w:p w:rsidR="00303B13" w:rsidRPr="00090E8F" w:rsidRDefault="00303B13" w:rsidP="00090E8F">
      <w:pPr>
        <w:widowControl/>
        <w:shd w:val="clear" w:color="auto" w:fill="FFFFFF"/>
        <w:spacing w:line="360" w:lineRule="atLeas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三级主任科员</w:t>
      </w:r>
      <w:r w:rsidR="009F604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及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以下人员</w:t>
      </w:r>
      <w:r w:rsid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名。</w:t>
      </w:r>
    </w:p>
    <w:p w:rsidR="00303B13" w:rsidRPr="00303B13" w:rsidRDefault="00303B13" w:rsidP="00090E8F">
      <w:pPr>
        <w:widowControl/>
        <w:shd w:val="clear" w:color="auto" w:fill="FFFFFF"/>
        <w:spacing w:line="360" w:lineRule="atLeas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90E8F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二、选调范围</w:t>
      </w:r>
    </w:p>
    <w:p w:rsidR="00303B13" w:rsidRPr="00090E8F" w:rsidRDefault="00303B13" w:rsidP="00090E8F">
      <w:pPr>
        <w:widowControl/>
        <w:shd w:val="clear" w:color="auto" w:fill="FFFFFF"/>
        <w:spacing w:line="360" w:lineRule="atLeas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1、全市各级机关(含乡镇机关和参公单位)行政编制或参照公务员编制、在编在职的人员。</w:t>
      </w:r>
    </w:p>
    <w:p w:rsidR="00303B13" w:rsidRPr="00090E8F" w:rsidRDefault="00303B13" w:rsidP="00090E8F">
      <w:pPr>
        <w:widowControl/>
        <w:shd w:val="clear" w:color="auto" w:fill="FFFFFF"/>
        <w:spacing w:line="360" w:lineRule="atLeas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2、</w:t>
      </w:r>
      <w:r w:rsidRPr="00090E8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中央</w:t>
      </w:r>
      <w:r w:rsidR="00B244B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 w:rsidRPr="00090E8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省属在台州单位符合上述条件的也可报名。</w:t>
      </w:r>
    </w:p>
    <w:p w:rsidR="00303B13" w:rsidRPr="00090E8F" w:rsidRDefault="00303B1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黑体" w:eastAsia="黑体" w:hAnsi="黑体" w:cs="仿宋" w:hint="eastAsia"/>
          <w:color w:val="000000"/>
          <w:kern w:val="0"/>
          <w:sz w:val="32"/>
          <w:szCs w:val="32"/>
          <w:shd w:val="clear" w:color="auto" w:fill="FFFFFF"/>
        </w:rPr>
        <w:t>三、选调岗位及相关</w:t>
      </w:r>
      <w:r w:rsidR="00F13DB6" w:rsidRPr="00090E8F">
        <w:rPr>
          <w:rFonts w:ascii="黑体" w:eastAsia="黑体" w:hAnsi="黑体" w:cs="仿宋" w:hint="eastAsia"/>
          <w:color w:val="000000"/>
          <w:kern w:val="0"/>
          <w:sz w:val="32"/>
          <w:szCs w:val="32"/>
          <w:shd w:val="clear" w:color="auto" w:fill="FFFFFF"/>
        </w:rPr>
        <w:t>要求</w:t>
      </w:r>
    </w:p>
    <w:p w:rsidR="00303B13" w:rsidRDefault="00303B1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1.会计岗位1名：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全日制大学本科</w:t>
      </w:r>
      <w:r w:rsidR="00F13DB6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及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以上学历，财务管理、会计等相关专业，以及其他专业但持有会计从业资格证的，</w:t>
      </w:r>
      <w:r w:rsidR="00F960A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具有一年以上</w:t>
      </w:r>
      <w:r w:rsidR="00F13DB6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财务管理经验。</w:t>
      </w:r>
    </w:p>
    <w:p w:rsidR="0060083B" w:rsidRPr="00090E8F" w:rsidRDefault="00665518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665518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60083B" w:rsidRPr="00665518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9C2AC7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医保结算管理</w:t>
      </w:r>
      <w:r w:rsidR="0060083B" w:rsidRPr="00665518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岗位1名</w:t>
      </w:r>
      <w:r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60083B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全日制大学本科及以上学历，</w:t>
      </w:r>
      <w:r w:rsidR="009C2AC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医学、药学、医疗保障领域公共管理学、数学、统计学、计算机</w:t>
      </w:r>
      <w:r w:rsid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等相关专业，</w:t>
      </w:r>
      <w:r w:rsidR="00F960A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具有一年以上相应专业工作经验</w:t>
      </w:r>
      <w:r w:rsidR="009C2AC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303B13" w:rsidRPr="00090E8F" w:rsidRDefault="0060083B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="00F13DB6" w:rsidRPr="0060083B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.</w:t>
      </w:r>
      <w:r w:rsidR="000F1615" w:rsidRPr="0060083B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综合</w:t>
      </w:r>
      <w:r w:rsidRPr="0060083B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管理</w:t>
      </w:r>
      <w:r w:rsidR="00303B13" w:rsidRPr="0060083B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岗位1名：</w:t>
      </w:r>
      <w:r w:rsidR="00303B13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全日制大学本科</w:t>
      </w:r>
      <w:r w:rsidR="00F13DB6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及</w:t>
      </w:r>
      <w:r w:rsidR="00303B13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以上学历，</w:t>
      </w:r>
      <w:r w:rsidR="000F1615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不限专业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="00F960A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同等条件下，</w:t>
      </w:r>
      <w:r w:rsidR="00F960A6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具有法律职业资格证</w:t>
      </w:r>
      <w:r w:rsidRPr="0060083B">
        <w:rPr>
          <w:rFonts w:ascii="仿宋_GB2312" w:eastAsia="仿宋_GB2312" w:hAnsi="仿宋" w:cs="仿宋"/>
          <w:color w:val="000000"/>
          <w:kern w:val="0"/>
          <w:sz w:val="32"/>
          <w:szCs w:val="32"/>
        </w:rPr>
        <w:t>的优先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）</w:t>
      </w:r>
      <w:r w:rsidR="000F1615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303B13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有较强的</w:t>
      </w:r>
      <w:r w:rsidR="000F1615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文字能力和综合</w:t>
      </w:r>
      <w:r w:rsidR="00303B13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协调能力。</w:t>
      </w:r>
    </w:p>
    <w:p w:rsidR="00F13DB6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黑体" w:eastAsia="黑体" w:hAnsi="黑体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四、选调基本条件</w:t>
      </w:r>
    </w:p>
    <w:p w:rsidR="00F13DB6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选调人员除具有《公务员法》第13条规定之外，还须具备以下条件：</w:t>
      </w:r>
    </w:p>
    <w:p w:rsidR="00F13DB6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1.具有良好的政治素质和较强的事业心</w:t>
      </w:r>
      <w:r w:rsidR="00B244B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责任心，廉洁奉公、遵纪守法、身体健康</w:t>
      </w:r>
      <w:r w:rsidR="00CB5D0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F13DB6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2.年龄在35周岁以下（198</w:t>
      </w:r>
      <w:r w:rsid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月30日以后出生），</w:t>
      </w:r>
      <w:r w:rsidR="00E43545">
        <w:rPr>
          <w:rFonts w:ascii="仿宋_GB2312" w:eastAsia="仿宋_GB2312" w:hint="eastAsia"/>
          <w:color w:val="333333"/>
          <w:sz w:val="32"/>
          <w:szCs w:val="32"/>
        </w:rPr>
        <w:t>全日制研究生及以上学历或高级职称可放宽至1981年6月30日以后出生，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近三年年度考核结果均在称职及以上等次</w:t>
      </w:r>
      <w:r w:rsidR="00CB5D0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F13DB6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3.县（市、区）机关新录用的公务员， 应在同一机关工作满 3 年</w:t>
      </w:r>
      <w:r w:rsidR="00E4354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，截至2021年6月30日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；乡镇（街道）机关新录用的公务员，应在乡镇（街道）机关工作满 5 年（含试用期）</w:t>
      </w:r>
      <w:r w:rsidR="00E4354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，截至2021年6月30日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；新录用公务员与招录机关签订最低服务工作年限的，按协议执行；专业技术类、行政执法类公务员，按相关规定执行。</w:t>
      </w:r>
    </w:p>
    <w:p w:rsidR="00F13DB6" w:rsidRPr="00090E8F" w:rsidRDefault="00AA4F8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="00F13DB6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.受过党纪政务处分的，涉嫌违纪违法正在接受有关专门机关审查尚未作出结论的，列入失信黑名单的，不得参与选调。</w:t>
      </w:r>
    </w:p>
    <w:p w:rsidR="00BA7722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黑体" w:eastAsia="黑体" w:hAnsi="黑体" w:cs="宋体"/>
          <w:color w:val="000000"/>
          <w:sz w:val="32"/>
          <w:szCs w:val="32"/>
        </w:rPr>
      </w:pPr>
      <w:r w:rsidRPr="00090E8F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五</w:t>
      </w:r>
      <w:r w:rsidR="00BA7722" w:rsidRPr="00090E8F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、报名方式</w:t>
      </w:r>
    </w:p>
    <w:p w:rsidR="00F13DB6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楷体" w:eastAsia="楷体" w:hAnsi="楷体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1.报名采用网络报名和现场报名两种方式。</w:t>
      </w:r>
    </w:p>
    <w:p w:rsidR="00B244BB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现场报考人员须携带身份证、毕业证书、学位证书原件、复印件及《台州市医疗保障局公开选调参公事业单位工作人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员报名表》（附件）（在本公告附件中下载，A4纸正反面打印）各1份、近期2寸免冠照片1张。</w:t>
      </w:r>
    </w:p>
    <w:p w:rsidR="00B11CF3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网络报考人员须提供上述相关材料的电子扫描件及报名表，一并发至邮箱：</w:t>
      </w:r>
      <w:r w:rsidR="0035180B" w:rsidRPr="0035180B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>368906353@qq.com</w:t>
      </w:r>
      <w:r w:rsidR="0035180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（请在报名邮件主题中注明“姓名+报考岗位”字样，并来电确认）。网络报名人员须在考试前一天提供报考相关资料原件</w:t>
      </w:r>
      <w:r w:rsidR="00B244B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送</w:t>
      </w:r>
      <w:r w:rsidR="00B11CF3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台州市医疗保障局办公室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审核，如不能提供，则取消考试资格。</w:t>
      </w:r>
    </w:p>
    <w:p w:rsidR="00B11CF3" w:rsidRPr="00090E8F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《台州市医疗保障局公开选调参公事业单位工作人员报名表》</w:t>
      </w:r>
      <w:r w:rsidR="00F13DB6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可在以下网址进行下载：</w:t>
      </w:r>
    </w:p>
    <w:p w:rsidR="00B11CF3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台州市</w:t>
      </w:r>
      <w:r w:rsidR="00B11CF3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医疗保障局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="00B11CF3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http://ylbzj.zjtz.gov.cn/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）公告栏</w:t>
      </w:r>
      <w:r w:rsidR="00B11CF3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B11CF3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台州党建网（http://www.zjtz.gov.cn）公告栏</w:t>
      </w:r>
      <w:r w:rsidR="00CB5D0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B11CF3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台州人才网 ( http://www.tzrc.cn )</w:t>
      </w:r>
      <w:r w:rsidR="00CB5D0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公告栏。</w:t>
      </w:r>
    </w:p>
    <w:p w:rsidR="00B11CF3" w:rsidRPr="00090E8F" w:rsidRDefault="00F13DB6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2.报名时间：</w:t>
      </w:r>
      <w:r w:rsid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2021年</w:t>
      </w:r>
      <w:r w:rsidR="00B244B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B244B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日--</w:t>
      </w:r>
      <w:r w:rsid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AA4F8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15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日，</w:t>
      </w:r>
      <w:r w:rsidR="00B11CF3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现场报名限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工作日上班时间</w:t>
      </w:r>
      <w:r w:rsidR="00B11CF3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（上午8:30—12:00、下午14:00—17:00）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11CF3" w:rsidRPr="00090E8F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3.报名地点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：台州市医疗保障局办公室（椒江区东环大道143-147号</w:t>
      </w:r>
      <w:r w:rsidR="00CB5D0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台州人力社保大楼90</w:t>
      </w:r>
      <w:r w:rsidR="0035180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室）。</w:t>
      </w:r>
    </w:p>
    <w:p w:rsidR="00B11CF3" w:rsidRPr="00090E8F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4.联系方式：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0576-88513323</w:t>
      </w:r>
      <w:r w:rsidR="00CB5D0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和0576-88513357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；0576-88513327(传真)；</w:t>
      </w:r>
      <w:r w:rsidR="0035180B" w:rsidRPr="0035180B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>368906353@qq.com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A7722" w:rsidRPr="00090E8F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黑体" w:eastAsia="黑体" w:hAnsi="黑体" w:cs="宋体"/>
          <w:color w:val="000000"/>
          <w:sz w:val="32"/>
          <w:szCs w:val="32"/>
        </w:rPr>
      </w:pPr>
      <w:r w:rsidRPr="00090E8F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六</w:t>
      </w:r>
      <w:r w:rsidR="00BA7722" w:rsidRPr="00090E8F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、选调方式</w:t>
      </w:r>
    </w:p>
    <w:p w:rsidR="00B11CF3" w:rsidRPr="00090E8F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1.资格审查。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对报名人员进行资格审查，确定进入笔试人员名单。如每个岗位符合报考条件人数与拟选调人数比例不足</w:t>
      </w:r>
      <w:r w:rsidR="0035180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CB5D0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: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1的，则取消该岗位选调计划。</w:t>
      </w:r>
    </w:p>
    <w:p w:rsidR="00B11CF3" w:rsidRPr="00090E8F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2.笔试。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具体时间、地点另行通知，笔试</w:t>
      </w:r>
      <w:r w:rsidR="00C60244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满分100分，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成绩占总分40%。</w:t>
      </w:r>
    </w:p>
    <w:p w:rsidR="00B11CF3" w:rsidRPr="00AA4F86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3.面试。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根据笔试成绩由高到低，按照选调岗位数1:</w:t>
      </w:r>
      <w:r w:rsidR="00CB5D0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的比例确定面试对象,面试</w:t>
      </w:r>
      <w:r w:rsidR="00C60244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满分100分，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成绩占总分60%。</w:t>
      </w:r>
      <w:r w:rsidR="00AA4F8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参</w:t>
      </w:r>
      <w:r w:rsidR="00AA4F86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加选调对象需</w:t>
      </w:r>
      <w:r w:rsidR="00AA4F8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在面试前一天取得</w:t>
      </w:r>
      <w:r w:rsidR="00AA4F86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所在单位</w:t>
      </w:r>
      <w:r w:rsidR="00680474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选调</w:t>
      </w:r>
      <w:r w:rsidR="00AA4F86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同意</w:t>
      </w:r>
      <w:r w:rsidR="00680474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意见</w:t>
      </w:r>
      <w:r w:rsidR="00AA4F8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，如不能取得所在单位同意</w:t>
      </w:r>
      <w:r w:rsidR="00680474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意见</w:t>
      </w:r>
      <w:r w:rsidR="00AA4F8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，将取消面试资格，根据笔试成绩由高到低依次递补</w:t>
      </w:r>
      <w:r w:rsidR="00AA4F86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11CF3" w:rsidRPr="00090E8F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考试信息将在台州市医疗保障局网站（http://ylbzj.zjtz.gov.cn/）公告栏上公布。</w:t>
      </w:r>
    </w:p>
    <w:p w:rsidR="00B11CF3" w:rsidRPr="000F1615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highlight w:val="yellow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4.确定入围人选</w:t>
      </w:r>
      <w:r w:rsidRPr="0060083B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根据考试综合成绩（以笔试成绩占总分40%、面试成绩占总分60%计算）</w:t>
      </w:r>
      <w:r w:rsidR="000F1615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60分及以上的</w:t>
      </w:r>
      <w:r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从高到低排序，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按选调职位数1:3的比例确定入围人选</w:t>
      </w:r>
      <w:r w:rsidR="000F161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0F1615"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考试综合成绩低于60分的不作为入围人选对象</w:t>
      </w:r>
      <w:r w:rsidRPr="0060083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B11CF3" w:rsidRPr="00090E8F" w:rsidRDefault="00B11CF3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5.体检。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入围人员参照现行《公务员录用体检通用标准（试行）》进行体检，如不按规定时间、地点参加体检的，视作放弃</w:t>
      </w:r>
      <w:r w:rsidR="00090E8F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选调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资格</w:t>
      </w:r>
      <w:r w:rsidR="00090E8F"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090E8F" w:rsidRPr="00090E8F" w:rsidRDefault="00090E8F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.</w:t>
      </w: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考察。</w:t>
      </w:r>
      <w:r w:rsidRPr="00090E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对入围人员体检符合有关规定的进行考察，</w:t>
      </w:r>
      <w:r w:rsidRPr="00090E8F"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t>着重了解考察对象的德、能、勤、绩、廉等情况，因考察对</w:t>
      </w:r>
      <w:r w:rsidRPr="00090E8F"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lastRenderedPageBreak/>
        <w:t>象自动放弃或考察结论不宜录用的，将在入围人员中</w:t>
      </w:r>
      <w:r w:rsidR="00CB5D0E"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t>符合体检要求</w:t>
      </w:r>
      <w:r w:rsidRPr="00090E8F"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t>按综合成绩从高到低依次递补。</w:t>
      </w:r>
    </w:p>
    <w:p w:rsidR="00090E8F" w:rsidRPr="00090E8F" w:rsidRDefault="00090E8F" w:rsidP="00090E8F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.</w:t>
      </w:r>
      <w:r w:rsidRPr="00090E8F">
        <w:rPr>
          <w:rFonts w:ascii="楷体" w:eastAsia="楷体" w:hAnsi="楷体" w:cs="仿宋" w:hint="eastAsia"/>
          <w:color w:val="000000"/>
          <w:kern w:val="0"/>
          <w:sz w:val="32"/>
          <w:szCs w:val="32"/>
          <w:shd w:val="clear" w:color="auto" w:fill="FFFFFF"/>
        </w:rPr>
        <w:t>确定选调对象。</w:t>
      </w:r>
      <w:r w:rsidRPr="00090E8F"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t>综合考虑考试成绩和体检、考察情况，召开台州市医疗保障局党组会，听取考察情况汇报，择优确定选调对象，并按有关规定和组织程序办理正式调动手续。</w:t>
      </w:r>
    </w:p>
    <w:p w:rsidR="00090E8F" w:rsidRPr="00090E8F" w:rsidRDefault="00090E8F" w:rsidP="00090E8F">
      <w:pPr>
        <w:widowControl/>
        <w:shd w:val="clear" w:color="auto" w:fill="FFFFFF"/>
        <w:spacing w:line="580" w:lineRule="atLeast"/>
        <w:ind w:firstLineChars="200" w:firstLine="672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  <w:r w:rsidRPr="00090E8F"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t>未尽事宜，由台州市医疗保障局办公室负责解释。</w:t>
      </w:r>
    </w:p>
    <w:p w:rsidR="00BA7722" w:rsidRPr="00090E8F" w:rsidRDefault="00BA7722" w:rsidP="00090E8F">
      <w:pPr>
        <w:widowControl/>
        <w:shd w:val="clear" w:color="auto" w:fill="FFFFFF"/>
        <w:spacing w:line="580" w:lineRule="atLeast"/>
        <w:ind w:firstLineChars="200" w:firstLine="672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BA7722" w:rsidRDefault="00BA7722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274269" w:rsidRDefault="00274269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274269" w:rsidRDefault="00257F17" w:rsidP="00257F17">
      <w:pPr>
        <w:widowControl/>
        <w:shd w:val="clear" w:color="auto" w:fill="FFFFFF"/>
        <w:spacing w:line="580" w:lineRule="atLeast"/>
        <w:ind w:firstLine="640"/>
        <w:jc w:val="center"/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t xml:space="preserve">       台州市医疗保障局</w:t>
      </w:r>
    </w:p>
    <w:p w:rsidR="00257F17" w:rsidRDefault="00257F17" w:rsidP="00257F17">
      <w:pPr>
        <w:widowControl/>
        <w:shd w:val="clear" w:color="auto" w:fill="FFFFFF"/>
        <w:spacing w:line="580" w:lineRule="atLeast"/>
        <w:ind w:firstLine="640"/>
        <w:jc w:val="center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pacing w:val="8"/>
          <w:sz w:val="32"/>
          <w:szCs w:val="32"/>
        </w:rPr>
        <w:t xml:space="preserve">        2021年7月1日</w:t>
      </w:r>
    </w:p>
    <w:p w:rsidR="00274269" w:rsidRPr="00257F17" w:rsidRDefault="00274269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274269" w:rsidRDefault="00274269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274269" w:rsidRDefault="00274269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274269" w:rsidRDefault="00274269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274269" w:rsidRDefault="00274269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274269" w:rsidRDefault="00274269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274269" w:rsidRDefault="00274269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35180B" w:rsidRDefault="0035180B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35180B" w:rsidRDefault="0035180B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274269" w:rsidRDefault="00274269" w:rsidP="00090E8F">
      <w:pPr>
        <w:widowControl/>
        <w:shd w:val="clear" w:color="auto" w:fill="FFFFFF"/>
        <w:spacing w:line="580" w:lineRule="atLeast"/>
        <w:ind w:firstLine="640"/>
        <w:jc w:val="left"/>
        <w:rPr>
          <w:rFonts w:ascii="仿宋_GB2312" w:eastAsia="仿宋_GB2312" w:hAnsi="微软雅黑"/>
          <w:color w:val="000000"/>
          <w:spacing w:val="8"/>
          <w:sz w:val="32"/>
          <w:szCs w:val="32"/>
        </w:rPr>
      </w:pPr>
    </w:p>
    <w:p w:rsidR="00BA7722" w:rsidRDefault="00BA7722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lastRenderedPageBreak/>
        <w:t>附件：</w:t>
      </w:r>
    </w:p>
    <w:p w:rsidR="00BA7722" w:rsidRDefault="00BA7722">
      <w:pPr>
        <w:jc w:val="center"/>
        <w:rPr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台州市医疗保障局下属参公事业单位公开选调报名表</w:t>
      </w:r>
    </w:p>
    <w:tbl>
      <w:tblPr>
        <w:tblW w:w="9339" w:type="dxa"/>
        <w:tblLayout w:type="fixed"/>
        <w:tblLook w:val="0000"/>
      </w:tblPr>
      <w:tblGrid>
        <w:gridCol w:w="843"/>
        <w:gridCol w:w="345"/>
        <w:gridCol w:w="1335"/>
        <w:gridCol w:w="105"/>
        <w:gridCol w:w="1050"/>
        <w:gridCol w:w="1131"/>
        <w:gridCol w:w="1599"/>
        <w:gridCol w:w="1251"/>
        <w:gridCol w:w="1680"/>
      </w:tblGrid>
      <w:tr w:rsidR="00BA7722">
        <w:trPr>
          <w:cantSplit/>
          <w:trHeight w:val="700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）岁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照片</w:t>
            </w:r>
          </w:p>
        </w:tc>
      </w:tr>
      <w:tr w:rsidR="00BA7722">
        <w:trPr>
          <w:cantSplit/>
          <w:trHeight w:val="70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A7722">
        <w:trPr>
          <w:cantSplit/>
          <w:trHeight w:val="70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A7722">
        <w:trPr>
          <w:cantSplit/>
          <w:trHeight w:val="70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7722">
        <w:trPr>
          <w:cantSplit/>
          <w:trHeight w:val="700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7722">
        <w:trPr>
          <w:cantSplit/>
          <w:trHeight w:val="700"/>
        </w:trPr>
        <w:tc>
          <w:tcPr>
            <w:tcW w:w="118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7722">
        <w:trPr>
          <w:cantSplit/>
          <w:trHeight w:val="1091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  <w:p w:rsidR="00BA7722" w:rsidRDefault="00BA7722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（行政/参公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7722">
        <w:trPr>
          <w:cantSplit/>
          <w:trHeight w:val="908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7722">
        <w:trPr>
          <w:cantSplit/>
          <w:trHeight w:val="4818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7722" w:rsidRDefault="00BA77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(注：从高中</w:t>
            </w:r>
            <w:r w:rsidR="0035180B">
              <w:rPr>
                <w:rFonts w:ascii="宋体" w:hAnsi="宋体" w:hint="eastAsia"/>
                <w:sz w:val="24"/>
              </w:rPr>
              <w:t>开始</w:t>
            </w:r>
            <w:r>
              <w:rPr>
                <w:rFonts w:ascii="宋体" w:hAnsi="宋体" w:hint="eastAsia"/>
                <w:sz w:val="24"/>
              </w:rPr>
              <w:t>填</w:t>
            </w:r>
            <w:r w:rsidR="00E853B5">
              <w:rPr>
                <w:rFonts w:ascii="宋体" w:hAnsi="宋体" w:hint="eastAsia"/>
                <w:sz w:val="24"/>
              </w:rPr>
              <w:t>写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A7722" w:rsidRDefault="00BA7722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3" w:type="dxa"/>
        <w:tblLayout w:type="fixed"/>
        <w:tblLook w:val="0000"/>
      </w:tblPr>
      <w:tblGrid>
        <w:gridCol w:w="840"/>
        <w:gridCol w:w="945"/>
        <w:gridCol w:w="107"/>
        <w:gridCol w:w="1048"/>
        <w:gridCol w:w="1365"/>
        <w:gridCol w:w="5046"/>
      </w:tblGrid>
      <w:tr w:rsidR="00BA7722">
        <w:trPr>
          <w:cantSplit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3B5">
        <w:trPr>
          <w:cantSplit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853B5" w:rsidRDefault="00E853B5" w:rsidP="00E853B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853B5" w:rsidRDefault="00E853B5" w:rsidP="00E853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E853B5" w:rsidRDefault="00E853B5" w:rsidP="00E853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853B5" w:rsidRDefault="00E853B5" w:rsidP="00E853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E853B5" w:rsidRDefault="00E853B5" w:rsidP="00E853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E853B5" w:rsidRDefault="00E853B5" w:rsidP="00E853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E853B5" w:rsidRDefault="00E853B5" w:rsidP="00E853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  <w:p w:rsidR="00E853B5" w:rsidRDefault="00E853B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853B5" w:rsidRDefault="00E853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7722">
        <w:trPr>
          <w:cantSplit/>
          <w:trHeight w:val="737"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BA7722" w:rsidRDefault="00BA7722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BA7722">
        <w:trPr>
          <w:cantSplit/>
          <w:trHeight w:val="737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7722">
        <w:trPr>
          <w:cantSplit/>
          <w:trHeight w:val="737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7722">
        <w:trPr>
          <w:cantSplit/>
          <w:trHeight w:val="737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7722">
        <w:trPr>
          <w:cantSplit/>
          <w:trHeight w:val="716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7722">
        <w:trPr>
          <w:cantSplit/>
          <w:trHeight w:val="334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本人申明：上述填写的内容真实完整，如有不实，本人愿意承担取消选调资格的责任。</w:t>
            </w: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签名：</w:t>
            </w:r>
          </w:p>
          <w:p w:rsidR="00BA7722" w:rsidRDefault="00BA7722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  月     日</w:t>
            </w:r>
          </w:p>
          <w:p w:rsidR="00BA7722" w:rsidRDefault="00BA7722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7722">
        <w:trPr>
          <w:cantSplit/>
          <w:trHeight w:val="3737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所在单位负责人意见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</w:p>
          <w:p w:rsidR="00BA7722" w:rsidRDefault="00BA77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（同意报名参与选调。）</w:t>
            </w:r>
          </w:p>
          <w:p w:rsidR="00BA7722" w:rsidRDefault="00BA7722">
            <w:pPr>
              <w:spacing w:line="40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BA7722" w:rsidRDefault="00BA7722">
            <w:pPr>
              <w:spacing w:line="400" w:lineRule="exact"/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签名（盖章）：</w:t>
            </w:r>
          </w:p>
          <w:p w:rsidR="00BA7722" w:rsidRDefault="00BA7722">
            <w:pPr>
              <w:spacing w:line="24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BA7722" w:rsidRDefault="00BA7722">
            <w:pPr>
              <w:spacing w:line="24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</w:p>
          <w:p w:rsidR="00BA7722" w:rsidRDefault="00BA77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BA7722" w:rsidRDefault="00BA7722">
      <w:pPr>
        <w:rPr>
          <w:sz w:val="28"/>
          <w:szCs w:val="28"/>
        </w:rPr>
      </w:pPr>
    </w:p>
    <w:sectPr w:rsidR="00BA7722" w:rsidSect="009A035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AD" w:rsidRDefault="00C411AD" w:rsidP="00303B13">
      <w:r>
        <w:separator/>
      </w:r>
    </w:p>
  </w:endnote>
  <w:endnote w:type="continuationSeparator" w:id="1">
    <w:p w:rsidR="00C411AD" w:rsidRDefault="00C411AD" w:rsidP="0030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E" w:rsidRDefault="00AE4118">
    <w:pPr>
      <w:pStyle w:val="a4"/>
      <w:jc w:val="center"/>
    </w:pPr>
    <w:fldSimple w:instr=" PAGE   \* MERGEFORMAT ">
      <w:r w:rsidR="00257F17" w:rsidRPr="00257F17">
        <w:rPr>
          <w:noProof/>
          <w:lang w:val="zh-CN"/>
        </w:rPr>
        <w:t>1</w:t>
      </w:r>
    </w:fldSimple>
  </w:p>
  <w:p w:rsidR="00CB5D0E" w:rsidRDefault="00CB5D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AD" w:rsidRDefault="00C411AD" w:rsidP="00303B13">
      <w:r>
        <w:separator/>
      </w:r>
    </w:p>
  </w:footnote>
  <w:footnote w:type="continuationSeparator" w:id="1">
    <w:p w:rsidR="00C411AD" w:rsidRDefault="00C411AD" w:rsidP="0030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B13"/>
    <w:rsid w:val="00090E8F"/>
    <w:rsid w:val="000F1615"/>
    <w:rsid w:val="00257F17"/>
    <w:rsid w:val="00274269"/>
    <w:rsid w:val="00296FAD"/>
    <w:rsid w:val="00303B13"/>
    <w:rsid w:val="0035180B"/>
    <w:rsid w:val="003E733A"/>
    <w:rsid w:val="003F1F88"/>
    <w:rsid w:val="00456B5D"/>
    <w:rsid w:val="005C007C"/>
    <w:rsid w:val="0060083B"/>
    <w:rsid w:val="00665518"/>
    <w:rsid w:val="00680474"/>
    <w:rsid w:val="0093433B"/>
    <w:rsid w:val="00940447"/>
    <w:rsid w:val="009641D9"/>
    <w:rsid w:val="009A0356"/>
    <w:rsid w:val="009C2AC7"/>
    <w:rsid w:val="009D34B4"/>
    <w:rsid w:val="009F604F"/>
    <w:rsid w:val="00AA4F86"/>
    <w:rsid w:val="00AB72D1"/>
    <w:rsid w:val="00AE4118"/>
    <w:rsid w:val="00B11CF3"/>
    <w:rsid w:val="00B244BB"/>
    <w:rsid w:val="00BA7722"/>
    <w:rsid w:val="00C411AD"/>
    <w:rsid w:val="00C60244"/>
    <w:rsid w:val="00CB5D0E"/>
    <w:rsid w:val="00E43545"/>
    <w:rsid w:val="00E61E43"/>
    <w:rsid w:val="00E853B5"/>
    <w:rsid w:val="00F13DB6"/>
    <w:rsid w:val="00F169C5"/>
    <w:rsid w:val="00F960A6"/>
    <w:rsid w:val="01EF7E74"/>
    <w:rsid w:val="095C70E9"/>
    <w:rsid w:val="0A617BE3"/>
    <w:rsid w:val="0F372C97"/>
    <w:rsid w:val="113C02B6"/>
    <w:rsid w:val="19B60844"/>
    <w:rsid w:val="25474010"/>
    <w:rsid w:val="2A11792C"/>
    <w:rsid w:val="2B9339BB"/>
    <w:rsid w:val="38F326EC"/>
    <w:rsid w:val="3CBC1AF1"/>
    <w:rsid w:val="42451EAE"/>
    <w:rsid w:val="46EA5548"/>
    <w:rsid w:val="507933B5"/>
    <w:rsid w:val="738E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3B1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0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B13"/>
    <w:rPr>
      <w:kern w:val="2"/>
      <w:sz w:val="18"/>
      <w:szCs w:val="18"/>
    </w:rPr>
  </w:style>
  <w:style w:type="character" w:customStyle="1" w:styleId="bjh-p">
    <w:name w:val="bjh-p"/>
    <w:basedOn w:val="a0"/>
    <w:rsid w:val="00303B13"/>
  </w:style>
  <w:style w:type="character" w:customStyle="1" w:styleId="bjh-strong2">
    <w:name w:val="bjh-strong2"/>
    <w:basedOn w:val="a0"/>
    <w:rsid w:val="00303B13"/>
    <w:rPr>
      <w:b/>
      <w:bCs/>
      <w:color w:val="333333"/>
      <w:sz w:val="27"/>
      <w:szCs w:val="27"/>
    </w:rPr>
  </w:style>
  <w:style w:type="paragraph" w:styleId="a5">
    <w:name w:val="Normal (Web)"/>
    <w:basedOn w:val="a"/>
    <w:uiPriority w:val="99"/>
    <w:unhideWhenUsed/>
    <w:rsid w:val="00F13D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Emphasis"/>
    <w:basedOn w:val="a0"/>
    <w:uiPriority w:val="20"/>
    <w:qFormat/>
    <w:rsid w:val="00600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9282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BEC3-D167-4AB5-ACB0-8F0D2449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393</Words>
  <Characters>2242</Characters>
  <Application>Microsoft Office Word</Application>
  <DocSecurity>0</DocSecurity>
  <Lines>18</Lines>
  <Paragraphs>5</Paragraphs>
  <ScaleCrop>false</ScaleCrop>
  <Company>微软中国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2021-06-28T00:41:00Z</cp:lastPrinted>
  <dcterms:created xsi:type="dcterms:W3CDTF">2021-06-22T08:06:00Z</dcterms:created>
  <dcterms:modified xsi:type="dcterms:W3CDTF">2021-07-01T04:14:00Z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