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ascii="宋体" w:hAnsi="宋体" w:cs="宋体"/>
          <w:bCs/>
          <w:color w:val="000000"/>
          <w:kern w:val="0"/>
          <w:sz w:val="44"/>
          <w:szCs w:val="44"/>
        </w:rPr>
      </w:pPr>
    </w:p>
    <w:p>
      <w:pPr>
        <w:spacing w:line="940" w:lineRule="exact"/>
        <w:jc w:val="center"/>
        <w:rPr>
          <w:rFonts w:ascii="宋体" w:hAnsi="宋体" w:cs="宋体"/>
          <w:bCs/>
          <w:color w:val="000000"/>
          <w:kern w:val="0"/>
          <w:sz w:val="44"/>
          <w:szCs w:val="44"/>
        </w:rPr>
      </w:pPr>
    </w:p>
    <w:p>
      <w:pPr>
        <w:spacing w:line="1100" w:lineRule="exact"/>
        <w:jc w:val="center"/>
        <w:rPr>
          <w:rFonts w:ascii="方正小标宋_GBK" w:hAnsi="方正小标宋_GBK" w:eastAsia="方正小标宋_GBK" w:cs="方正小标宋_GBK"/>
          <w:bCs/>
          <w:color w:val="FF0000"/>
          <w:spacing w:val="20"/>
          <w:w w:val="85"/>
          <w:kern w:val="0"/>
          <w:sz w:val="96"/>
          <w:szCs w:val="96"/>
        </w:rPr>
      </w:pPr>
      <w:r>
        <w:rPr>
          <w:rFonts w:hint="eastAsia" w:ascii="方正小标宋_GBK" w:hAnsi="方正小标宋_GBK" w:eastAsia="方正小标宋_GBK" w:cs="方正小标宋_GBK"/>
          <w:bCs/>
          <w:color w:val="FF0000"/>
          <w:spacing w:val="20"/>
          <w:w w:val="85"/>
          <w:kern w:val="0"/>
          <w:sz w:val="96"/>
          <w:szCs w:val="96"/>
        </w:rPr>
        <w:t>台州市医疗保障局文件</w:t>
      </w:r>
    </w:p>
    <w:p>
      <w:pPr>
        <w:spacing w:line="800" w:lineRule="exact"/>
        <w:jc w:val="center"/>
        <w:rPr>
          <w:rFonts w:ascii="宋体" w:hAnsi="宋体" w:cs="宋体"/>
          <w:bCs/>
          <w:color w:val="000000"/>
          <w:kern w:val="0"/>
          <w:sz w:val="44"/>
          <w:szCs w:val="44"/>
        </w:rPr>
      </w:pPr>
    </w:p>
    <w:p>
      <w:pPr>
        <w:spacing w:before="187" w:beforeLines="60" w:line="592"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台医保发〔2022〕12号</w:t>
      </w:r>
    </w:p>
    <w:p>
      <w:pPr>
        <w:spacing w:line="600" w:lineRule="exact"/>
        <w:jc w:val="center"/>
        <w:rPr>
          <w:rFonts w:ascii="方正小标宋简体" w:hAnsi="仿宋" w:eastAsia="方正小标宋简体" w:cs="仿宋"/>
          <w:color w:val="000000" w:themeColor="text1"/>
          <w:sz w:val="44"/>
          <w:szCs w:val="44"/>
          <w14:textFill>
            <w14:solidFill>
              <w14:schemeClr w14:val="tx1"/>
            </w14:solidFill>
          </w14:textFill>
        </w:rPr>
      </w:pPr>
      <w:r>
        <w:rPr>
          <w:rFonts w:hint="eastAsia" w:ascii="仿宋_GB2312" w:hAnsi="宋体" w:eastAsia="仿宋_GB2312" w:cs="宋体"/>
          <w:bCs/>
          <w:color w:val="000000"/>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117475</wp:posOffset>
                </wp:positionV>
                <wp:extent cx="5648325" cy="0"/>
                <wp:effectExtent l="0" t="12700" r="3175" b="12700"/>
                <wp:wrapNone/>
                <wp:docPr id="1" name="直接连接符 1"/>
                <wp:cNvGraphicFramePr/>
                <a:graphic xmlns:a="http://schemas.openxmlformats.org/drawingml/2006/main">
                  <a:graphicData uri="http://schemas.microsoft.com/office/word/2010/wordprocessingShape">
                    <wps:wsp>
                      <wps:cNvCnPr/>
                      <wps:spPr>
                        <a:xfrm>
                          <a:off x="0" y="0"/>
                          <a:ext cx="5648325"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2.25pt;margin-top:9.25pt;height:0pt;width:444.75pt;z-index:251661312;mso-width-relative:page;mso-height-relative:page;" filled="f" stroked="t" coordsize="21600,21600" o:gfxdata="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fRj2jVAAAABwEAAA8AAAAAAAAAAQAgAAAAIgAAAGRycy9kb3ducmV2LnhtbFBLAQIUABQAAAAI&#10;AIdO4kD1hQm78AEAANkDAAAOAAAAAAAAAAEAIAAAACQBAABkcnMvZTJvRG9jLnhtbFBLBQYAAAAA&#10;BgAGAFkBAACGBQAAAAA=&#10;">
                <v:fill on="f" focussize="0,0"/>
                <v:stroke weight="2pt" color="#FF0000" joinstyle="round"/>
                <v:imagedata o:title=""/>
                <o:lock v:ext="edit" aspectratio="f"/>
              </v:line>
            </w:pict>
          </mc:Fallback>
        </mc:AlternateContent>
      </w:r>
    </w:p>
    <w:p>
      <w:pPr>
        <w:spacing w:before="312" w:beforeLines="100" w:line="6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关于印发《台州市医疗保险定点医药机构</w:t>
      </w:r>
    </w:p>
    <w:p>
      <w:pPr>
        <w:spacing w:line="600" w:lineRule="exact"/>
        <w:jc w:val="center"/>
        <w:rPr>
          <w:rFonts w:ascii="方正小标宋简体" w:hAnsi="仿宋" w:eastAsia="方正小标宋简体" w:cs="仿宋"/>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评估管理实施细则（试行）》的通知</w:t>
      </w:r>
    </w:p>
    <w:p/>
    <w:p>
      <w:pPr>
        <w:spacing w:line="60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各县（市、区）医疗保障局：</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hAnsi="仿宋_GB2312" w:eastAsia="仿宋_GB2312"/>
          <w:color w:val="000000" w:themeColor="text1"/>
          <w:kern w:val="0"/>
          <w:sz w:val="32"/>
          <w:szCs w:val="32"/>
          <w14:textFill>
            <w14:solidFill>
              <w14:schemeClr w14:val="tx1"/>
            </w14:solidFill>
          </w14:textFill>
        </w:rPr>
        <w:t>为进一</w:t>
      </w:r>
      <w:r>
        <w:rPr>
          <w:rFonts w:hint="eastAsia" w:ascii="仿宋_GB2312" w:eastAsia="仿宋_GB2312"/>
          <w:color w:val="000000" w:themeColor="text1"/>
          <w:sz w:val="32"/>
          <w:szCs w:val="32"/>
          <w14:textFill>
            <w14:solidFill>
              <w14:schemeClr w14:val="tx1"/>
            </w14:solidFill>
          </w14:textFill>
        </w:rPr>
        <w:t>步规范和完善我市基本医疗保障新增定点医疗机构和定点零售药店协议</w:t>
      </w:r>
      <w:r>
        <w:rPr>
          <w:rFonts w:ascii="仿宋_GB2312" w:eastAsia="仿宋_GB2312"/>
          <w:color w:val="000000" w:themeColor="text1"/>
          <w:sz w:val="32"/>
          <w:szCs w:val="32"/>
          <w14:textFill>
            <w14:solidFill>
              <w14:schemeClr w14:val="tx1"/>
            </w14:solidFill>
          </w14:textFill>
        </w:rPr>
        <w:t>管理工作</w:t>
      </w:r>
      <w:r>
        <w:rPr>
          <w:rFonts w:hint="eastAsia" w:ascii="仿宋_GB2312" w:eastAsia="仿宋_GB2312"/>
          <w:color w:val="000000" w:themeColor="text1"/>
          <w:sz w:val="32"/>
          <w:szCs w:val="32"/>
          <w14:textFill>
            <w14:solidFill>
              <w14:schemeClr w14:val="tx1"/>
            </w14:solidFill>
          </w14:textFill>
        </w:rPr>
        <w:t>，建立公平统一的工作机制，根据《医疗机构医疗保障定点管理办法》、《零售药店医疗保障定点管理办法》、《浙江省医疗保障局关于印发浙江省医疗保障定点医疗机构和定点零售药店确定评估细则的通知》（以下</w:t>
      </w:r>
      <w:r>
        <w:rPr>
          <w:rFonts w:ascii="仿宋_GB2312" w:eastAsia="仿宋_GB2312"/>
          <w:color w:val="000000" w:themeColor="text1"/>
          <w:sz w:val="32"/>
          <w:szCs w:val="32"/>
          <w14:textFill>
            <w14:solidFill>
              <w14:schemeClr w14:val="tx1"/>
            </w14:solidFill>
          </w14:textFill>
        </w:rPr>
        <w:t>简称《</w:t>
      </w:r>
      <w:r>
        <w:rPr>
          <w:rFonts w:hint="eastAsia" w:ascii="仿宋_GB2312" w:eastAsia="仿宋_GB2312"/>
          <w:color w:val="000000" w:themeColor="text1"/>
          <w:sz w:val="32"/>
          <w:szCs w:val="32"/>
          <w14:textFill>
            <w14:solidFill>
              <w14:schemeClr w14:val="tx1"/>
            </w14:solidFill>
          </w14:textFill>
        </w:rPr>
        <w:t>通知</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），我局制定了《台州市医疗保险定点医药机构评估管理实施细则（试行）》，现印发给你们，请遵照执行。</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pStyle w:val="2"/>
        <w:rPr>
          <w:rFonts w:ascii="仿宋_GB2312" w:eastAsia="仿宋_GB2312"/>
          <w:color w:val="000000" w:themeColor="text1"/>
          <w:sz w:val="32"/>
          <w:szCs w:val="32"/>
          <w14:textFill>
            <w14:solidFill>
              <w14:schemeClr w14:val="tx1"/>
            </w14:solidFill>
          </w14:textFill>
        </w:rPr>
      </w:pPr>
    </w:p>
    <w:p/>
    <w:p>
      <w:pPr>
        <w:spacing w:line="600" w:lineRule="exact"/>
        <w:ind w:left="1598" w:leftChars="304" w:hanging="960" w:hangingChars="3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附件：台州市医疗保险定点医药机构评估管理实施细则（试行）</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wordWrap w:val="0"/>
        <w:spacing w:line="600" w:lineRule="exact"/>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台州市医疗保障局    </w:t>
      </w:r>
    </w:p>
    <w:p>
      <w:pPr>
        <w:wordWrap w:val="0"/>
        <w:spacing w:line="600" w:lineRule="exact"/>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2022年4月20日    </w:t>
      </w:r>
    </w:p>
    <w:p>
      <w:pPr>
        <w:spacing w:line="600" w:lineRule="exact"/>
        <w:rPr>
          <w:rFonts w:ascii="方正小标宋简体" w:hAnsi="仿宋" w:eastAsia="方正小标宋简体" w:cs="仿宋"/>
          <w:color w:val="000000" w:themeColor="text1"/>
          <w:sz w:val="44"/>
          <w:szCs w:val="44"/>
          <w14:textFill>
            <w14:solidFill>
              <w14:schemeClr w14:val="tx1"/>
            </w14:solidFill>
          </w14:textFill>
        </w:rPr>
      </w:pPr>
      <w:r>
        <w:rPr>
          <w:rFonts w:hint="eastAsia" w:ascii="方正小标宋简体" w:hAnsi="仿宋" w:eastAsia="方正小标宋简体" w:cs="仿宋"/>
          <w:color w:val="000000" w:themeColor="text1"/>
          <w:sz w:val="44"/>
          <w:szCs w:val="44"/>
          <w14:textFill>
            <w14:solidFill>
              <w14:schemeClr w14:val="tx1"/>
            </w14:solidFill>
          </w14:textFill>
        </w:rPr>
        <w:br w:type="page"/>
      </w:r>
    </w:p>
    <w:p>
      <w:pPr>
        <w:spacing w:line="6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台州市医疗保险定点医药机构</w:t>
      </w:r>
    </w:p>
    <w:p>
      <w:pPr>
        <w:spacing w:line="6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评估管理实施细则（试行）</w:t>
      </w:r>
    </w:p>
    <w:p>
      <w:pPr>
        <w:spacing w:line="600" w:lineRule="exact"/>
        <w:jc w:val="center"/>
        <w:rPr>
          <w:rFonts w:ascii="方正小标宋简体" w:hAnsi="仿宋" w:eastAsia="方正小标宋简体" w:cs="仿宋"/>
          <w:color w:val="000000" w:themeColor="text1"/>
          <w:sz w:val="44"/>
          <w:szCs w:val="44"/>
          <w14:textFill>
            <w14:solidFill>
              <w14:schemeClr w14:val="tx1"/>
            </w14:solidFill>
          </w14:textFill>
        </w:rPr>
      </w:pPr>
    </w:p>
    <w:p>
      <w:pPr>
        <w:numPr>
          <w:ilvl w:val="0"/>
          <w:numId w:val="1"/>
        </w:numPr>
        <w:spacing w:line="600" w:lineRule="exact"/>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总则</w:t>
      </w:r>
    </w:p>
    <w:p>
      <w:pPr>
        <w:shd w:val="clear" w:color="auto" w:fill="FFFFFF"/>
        <w:overflowPunct w:val="0"/>
        <w:spacing w:line="600" w:lineRule="exact"/>
        <w:ind w:firstLine="480" w:firstLineChars="200"/>
        <w:rPr>
          <w:rFonts w:hAnsi="仿宋_GB2312" w:eastAsia="仿宋_GB2312"/>
          <w:color w:val="000000" w:themeColor="text1"/>
          <w:kern w:val="0"/>
          <w:sz w:val="24"/>
          <w14:textFill>
            <w14:solidFill>
              <w14:schemeClr w14:val="tx1"/>
            </w14:solidFill>
          </w14:textFill>
        </w:rPr>
      </w:pPr>
    </w:p>
    <w:p>
      <w:pPr>
        <w:shd w:val="clear" w:color="auto" w:fill="FFFFFF"/>
        <w:overflowPunct w:val="0"/>
        <w:spacing w:line="600" w:lineRule="exact"/>
        <w:ind w:firstLine="640" w:firstLineChars="200"/>
        <w:rPr>
          <w:rFonts w:ascii="黑体" w:hAnsi="黑体"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第一条 </w:t>
      </w:r>
      <w:r>
        <w:rPr>
          <w:rFonts w:hint="eastAsia" w:hAnsi="仿宋_GB2312" w:eastAsia="仿宋_GB2312"/>
          <w:color w:val="000000" w:themeColor="text1"/>
          <w:kern w:val="0"/>
          <w:sz w:val="32"/>
          <w:szCs w:val="32"/>
          <w14:textFill>
            <w14:solidFill>
              <w14:schemeClr w14:val="tx1"/>
            </w14:solidFill>
          </w14:textFill>
        </w:rPr>
        <w:t>为进一</w:t>
      </w:r>
      <w:r>
        <w:rPr>
          <w:rFonts w:hint="eastAsia" w:ascii="仿宋_GB2312" w:eastAsia="仿宋_GB2312"/>
          <w:color w:val="000000" w:themeColor="text1"/>
          <w:sz w:val="32"/>
          <w:szCs w:val="32"/>
          <w14:textFill>
            <w14:solidFill>
              <w14:schemeClr w14:val="tx1"/>
            </w14:solidFill>
          </w14:textFill>
        </w:rPr>
        <w:t>步规范和完善我市基本医疗保障新增定点医疗机构和定点零售药店协议</w:t>
      </w:r>
      <w:r>
        <w:rPr>
          <w:rFonts w:ascii="仿宋_GB2312" w:eastAsia="仿宋_GB2312"/>
          <w:color w:val="000000" w:themeColor="text1"/>
          <w:sz w:val="32"/>
          <w:szCs w:val="32"/>
          <w14:textFill>
            <w14:solidFill>
              <w14:schemeClr w14:val="tx1"/>
            </w14:solidFill>
          </w14:textFill>
        </w:rPr>
        <w:t>管理工作</w:t>
      </w:r>
      <w:r>
        <w:rPr>
          <w:rFonts w:hint="eastAsia" w:ascii="仿宋_GB2312" w:eastAsia="仿宋_GB2312"/>
          <w:color w:val="000000" w:themeColor="text1"/>
          <w:sz w:val="32"/>
          <w:szCs w:val="32"/>
          <w14:textFill>
            <w14:solidFill>
              <w14:schemeClr w14:val="tx1"/>
            </w14:solidFill>
          </w14:textFill>
        </w:rPr>
        <w:t>，建立公平统一的工作机制，根据《医疗机构医疗保障定点管理办法》（国家医疗保障局令 第2号）、《零售药店医疗保障定点管理办法》（国家医疗保障局令 第3号）、《浙江省医疗保障局关于印发浙江省医疗保障定点医疗机构和定点零售药店确定评估细则的通知》（浙医保发〔2021〕46号），制定本评估管理实施细则。</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第二条 </w:t>
      </w:r>
      <w:r>
        <w:rPr>
          <w:rFonts w:hint="eastAsia" w:hAnsi="仿宋_GB2312" w:eastAsia="仿宋_GB2312"/>
          <w:color w:val="000000" w:themeColor="text1"/>
          <w:kern w:val="0"/>
          <w:sz w:val="32"/>
          <w:szCs w:val="32"/>
          <w14:textFill>
            <w14:solidFill>
              <w14:schemeClr w14:val="tx1"/>
            </w14:solidFill>
          </w14:textFill>
        </w:rPr>
        <w:t>市级医保部门根据县级医疗保障行政部门上报的公众健康需求和医保医药资源配置情况，制定全市新增医保定点方案。</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p>
    <w:p>
      <w:pPr>
        <w:numPr>
          <w:ilvl w:val="0"/>
          <w:numId w:val="1"/>
        </w:numPr>
        <w:spacing w:line="600" w:lineRule="exact"/>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申请受理</w:t>
      </w:r>
    </w:p>
    <w:p>
      <w:pPr>
        <w:spacing w:line="600" w:lineRule="exact"/>
        <w:rPr>
          <w:rFonts w:ascii="黑体" w:hAnsi="黑体" w:eastAsia="黑体" w:cs="黑体"/>
          <w:color w:val="000000" w:themeColor="text1"/>
          <w:sz w:val="36"/>
          <w:szCs w:val="36"/>
          <w14:textFill>
            <w14:solidFill>
              <w14:schemeClr w14:val="tx1"/>
            </w14:solidFill>
          </w14:textFill>
        </w:rPr>
      </w:pP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第三条</w:t>
      </w:r>
      <w:r>
        <w:rPr>
          <w:rFonts w:hint="eastAsia" w:hAnsi="仿宋_GB2312" w:eastAsia="仿宋_GB2312"/>
          <w:color w:val="000000" w:themeColor="text1"/>
          <w:kern w:val="0"/>
          <w:sz w:val="32"/>
          <w:szCs w:val="32"/>
          <w14:textFill>
            <w14:solidFill>
              <w14:schemeClr w14:val="tx1"/>
            </w14:solidFill>
          </w14:textFill>
        </w:rPr>
        <w:t xml:space="preserve"> 各医保</w:t>
      </w:r>
      <w:r>
        <w:rPr>
          <w:rFonts w:hAnsi="仿宋_GB2312" w:eastAsia="仿宋_GB2312"/>
          <w:color w:val="000000" w:themeColor="text1"/>
          <w:kern w:val="0"/>
          <w:sz w:val="32"/>
          <w:szCs w:val="32"/>
          <w14:textFill>
            <w14:solidFill>
              <w14:schemeClr w14:val="tx1"/>
            </w14:solidFill>
          </w14:textFill>
        </w:rPr>
        <w:t>经办机构</w:t>
      </w:r>
      <w:r>
        <w:rPr>
          <w:rFonts w:hint="eastAsia" w:hAnsi="仿宋_GB2312" w:eastAsia="仿宋_GB2312"/>
          <w:color w:val="000000" w:themeColor="text1"/>
          <w:kern w:val="0"/>
          <w:sz w:val="32"/>
          <w:szCs w:val="32"/>
          <w14:textFill>
            <w14:solidFill>
              <w14:schemeClr w14:val="tx1"/>
            </w14:solidFill>
          </w14:textFill>
        </w:rPr>
        <w:t>根据全年新增医保定点方案进行统筹安排，可于每季度首月</w:t>
      </w:r>
      <w:r>
        <w:rPr>
          <w:rFonts w:hint="eastAsia" w:ascii="仿宋_GB2312" w:hAnsi="仿宋_GB2312" w:eastAsia="仿宋_GB2312"/>
          <w:color w:val="000000" w:themeColor="text1"/>
          <w:kern w:val="0"/>
          <w:sz w:val="32"/>
          <w:szCs w:val="32"/>
          <w14:textFill>
            <w14:solidFill>
              <w14:schemeClr w14:val="tx1"/>
            </w14:solidFill>
          </w14:textFill>
        </w:rPr>
        <w:t>开展各自辖区内新增定点医药机构集中受理工作，集中受理工作应在局网站或微信公众号进行公告。医保经办机构根据本细则要求对申请材料进行初审，材料齐全的予以受理，材料不齐或不符合条件的，应自收到材料之日起</w:t>
      </w:r>
      <w:r>
        <w:rPr>
          <w:rFonts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仿宋_GB2312" w:hAnsi="仿宋_GB2312" w:eastAsia="仿宋_GB2312"/>
          <w:color w:val="000000" w:themeColor="text1"/>
          <w:kern w:val="0"/>
          <w:sz w:val="32"/>
          <w:szCs w:val="32"/>
          <w14:textFill>
            <w14:solidFill>
              <w14:schemeClr w14:val="tx1"/>
            </w14:solidFill>
          </w14:textFill>
        </w:rPr>
        <w:t>个工作日内一次性告知医药机构。医药机构应自收到材料补正通知之日起</w:t>
      </w:r>
      <w:r>
        <w:rPr>
          <w:rFonts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仿宋_GB2312" w:hAnsi="仿宋_GB2312" w:eastAsia="仿宋_GB2312"/>
          <w:color w:val="000000" w:themeColor="text1"/>
          <w:kern w:val="0"/>
          <w:sz w:val="32"/>
          <w:szCs w:val="32"/>
          <w14:textFill>
            <w14:solidFill>
              <w14:schemeClr w14:val="tx1"/>
            </w14:solidFill>
          </w14:textFill>
        </w:rPr>
        <w:t>个工作日内补正，逾期不补正的视作放弃本轮申请，须</w:t>
      </w: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仿宋_GB2312" w:eastAsia="仿宋_GB2312"/>
          <w:color w:val="000000" w:themeColor="text1"/>
          <w:kern w:val="0"/>
          <w:sz w:val="32"/>
          <w:szCs w:val="32"/>
          <w14:textFill>
            <w14:solidFill>
              <w14:schemeClr w14:val="tx1"/>
            </w14:solidFill>
          </w14:textFill>
        </w:rPr>
        <w:t>个月后方可再次申请。</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第四条</w:t>
      </w:r>
      <w:r>
        <w:rPr>
          <w:rFonts w:hint="eastAsia" w:hAnsi="仿宋_GB2312" w:eastAsia="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olor w:val="000000" w:themeColor="text1"/>
          <w:kern w:val="0"/>
          <w:sz w:val="32"/>
          <w:szCs w:val="32"/>
          <w14:textFill>
            <w14:solidFill>
              <w14:schemeClr w14:val="tx1"/>
            </w14:solidFill>
          </w14:textFill>
        </w:rPr>
        <w:t>符合《通知》申请范围的医疗机构申请纳入定点医疗机构协议管理应具备以下条件：</w:t>
      </w:r>
    </w:p>
    <w:p>
      <w:pPr>
        <w:shd w:val="clear" w:color="auto" w:fill="FFFFFF"/>
        <w:overflowPunct w:val="0"/>
        <w:spacing w:line="600" w:lineRule="exact"/>
        <w:ind w:firstLine="640" w:firstLineChars="200"/>
        <w:rPr>
          <w:rFonts w:asci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（一）正式运营（开展诊疗服务，有诊疗收支发生）至少</w:t>
      </w: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仿宋_GB2312" w:eastAsia="仿宋_GB2312"/>
          <w:color w:val="000000" w:themeColor="text1"/>
          <w:kern w:val="0"/>
          <w:sz w:val="32"/>
          <w:szCs w:val="32"/>
          <w14:textFill>
            <w14:solidFill>
              <w14:schemeClr w14:val="tx1"/>
            </w14:solidFill>
          </w14:textFill>
        </w:rPr>
        <w:t>个月；</w:t>
      </w:r>
    </w:p>
    <w:p>
      <w:pPr>
        <w:shd w:val="clear" w:color="auto" w:fill="FFFFFF"/>
        <w:overflowPunct w:val="0"/>
        <w:spacing w:line="600" w:lineRule="exact"/>
        <w:ind w:firstLine="640" w:firstLineChars="200"/>
        <w:rPr>
          <w:rFonts w:asci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（二）除盲人医疗按摩所外，医疗机构应至少有</w:t>
      </w: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仿宋_GB2312" w:eastAsia="仿宋_GB2312"/>
          <w:color w:val="000000" w:themeColor="text1"/>
          <w:kern w:val="0"/>
          <w:sz w:val="32"/>
          <w:szCs w:val="32"/>
          <w14:textFill>
            <w14:solidFill>
              <w14:schemeClr w14:val="tx1"/>
            </w14:solidFill>
          </w14:textFill>
        </w:rPr>
        <w:t>名取得医师执业证书、乡村医生执业证书或中医（专长）医师资格证书且第一注册地在该医疗机构的医师；</w:t>
      </w:r>
      <w:r>
        <w:rPr>
          <w:rFonts w:hint="eastAsia" w:ascii="仿宋_GB2312" w:eastAsia="仿宋_GB2312"/>
          <w:color w:val="000000" w:themeColor="text1"/>
          <w:kern w:val="0"/>
          <w:sz w:val="32"/>
          <w:szCs w:val="32"/>
          <w14:textFill>
            <w14:solidFill>
              <w14:schemeClr w14:val="tx1"/>
            </w14:solidFill>
          </w14:textFill>
        </w:rPr>
        <w:t>盲人医疗按摩所应</w:t>
      </w:r>
      <w:r>
        <w:rPr>
          <w:rFonts w:hint="eastAsia" w:ascii="仿宋_GB2312" w:hAnsi="仿宋" w:eastAsia="仿宋_GB2312"/>
          <w:color w:val="000000" w:themeColor="text1"/>
          <w:sz w:val="32"/>
          <w:szCs w:val="32"/>
          <w14:textFill>
            <w14:solidFill>
              <w14:schemeClr w14:val="tx1"/>
            </w14:solidFill>
          </w14:textFill>
        </w:rPr>
        <w:t>配备持有中国残联核发的《盲人医疗按摩人员从事医疗按摩资格证书》的专业技术人员</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名（含）以上，按摩床</w:t>
      </w:r>
      <w:r>
        <w:rPr>
          <w:rFonts w:ascii="Times New Roman" w:hAnsi="Times New Roman" w:eastAsia="仿宋_GB2312" w:cs="Times New Roman"/>
          <w:color w:val="000000" w:themeColor="text1"/>
          <w:sz w:val="32"/>
          <w:szCs w:val="32"/>
          <w14:textFill>
            <w14:solidFill>
              <w14:schemeClr w14:val="tx1"/>
            </w14:solidFill>
          </w14:textFill>
        </w:rPr>
        <w:t>10</w:t>
      </w:r>
      <w:r>
        <w:rPr>
          <w:rFonts w:hint="eastAsia" w:ascii="仿宋_GB2312" w:hAnsi="仿宋" w:eastAsia="仿宋_GB2312"/>
          <w:color w:val="000000" w:themeColor="text1"/>
          <w:sz w:val="32"/>
          <w:szCs w:val="32"/>
          <w14:textFill>
            <w14:solidFill>
              <w14:schemeClr w14:val="tx1"/>
            </w14:solidFill>
          </w14:textFill>
        </w:rPr>
        <w:t>张（含）以上，服务场所建筑面积</w:t>
      </w:r>
      <w:r>
        <w:rPr>
          <w:rFonts w:ascii="Times New Roman" w:hAnsi="Times New Roman" w:eastAsia="仿宋_GB2312" w:cs="Times New Roman"/>
          <w:color w:val="000000" w:themeColor="text1"/>
          <w:sz w:val="32"/>
          <w:szCs w:val="32"/>
          <w14:textFill>
            <w14:solidFill>
              <w14:schemeClr w14:val="tx1"/>
            </w14:solidFill>
          </w14:textFill>
        </w:rPr>
        <w:t>120</w:t>
      </w:r>
      <w:r>
        <w:rPr>
          <w:rFonts w:hint="eastAsia" w:ascii="仿宋_GB2312" w:hAnsi="仿宋" w:eastAsia="仿宋_GB2312"/>
          <w:color w:val="000000" w:themeColor="text1"/>
          <w:sz w:val="32"/>
          <w:szCs w:val="32"/>
          <w14:textFill>
            <w14:solidFill>
              <w14:schemeClr w14:val="tx1"/>
            </w14:solidFill>
          </w14:textFill>
        </w:rPr>
        <w:t>平方米（含）以上；</w:t>
      </w:r>
    </w:p>
    <w:p>
      <w:pPr>
        <w:shd w:val="clear" w:color="auto" w:fill="FFFFFF"/>
        <w:overflowPunct w:val="0"/>
        <w:spacing w:line="600" w:lineRule="exact"/>
        <w:ind w:firstLine="640" w:firstLineChars="200"/>
        <w:rPr>
          <w:rFonts w:asci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（三）主要负责人负责医保工作，配备专（兼）职医保管理人员；</w:t>
      </w:r>
      <w:r>
        <w:rPr>
          <w:rFonts w:ascii="Times New Roman" w:hAnsi="Times New Roman" w:eastAsia="仿宋_GB2312" w:cs="Times New Roman"/>
          <w:color w:val="000000" w:themeColor="text1"/>
          <w:kern w:val="0"/>
          <w:sz w:val="32"/>
          <w:szCs w:val="32"/>
          <w14:textFill>
            <w14:solidFill>
              <w14:schemeClr w14:val="tx1"/>
            </w14:solidFill>
          </w14:textFill>
        </w:rPr>
        <w:t>100</w:t>
      </w:r>
      <w:r>
        <w:rPr>
          <w:rFonts w:hint="eastAsia" w:ascii="仿宋_GB2312" w:hAnsi="仿宋_GB2312" w:eastAsia="仿宋_GB2312"/>
          <w:color w:val="000000" w:themeColor="text1"/>
          <w:kern w:val="0"/>
          <w:sz w:val="32"/>
          <w:szCs w:val="32"/>
          <w14:textFill>
            <w14:solidFill>
              <w14:schemeClr w14:val="tx1"/>
            </w14:solidFill>
          </w14:textFill>
        </w:rPr>
        <w:t>张床位以上的医疗机构应设内部医保管理部门，安排专职工作人员；</w:t>
      </w:r>
    </w:p>
    <w:p>
      <w:pPr>
        <w:shd w:val="clear" w:color="auto" w:fill="FFFFFF"/>
        <w:overflowPunct w:val="0"/>
        <w:spacing w:line="600" w:lineRule="exact"/>
        <w:ind w:firstLine="640" w:firstLineChars="200"/>
        <w:rPr>
          <w:rFonts w:asci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（四）具有符合医保协议管理要求的医保管理制度、财务制度、统计信息管理制度、医疗质量安全核心制度等；</w:t>
      </w:r>
    </w:p>
    <w:p>
      <w:pPr>
        <w:shd w:val="clear" w:color="auto" w:fill="FFFFFF"/>
        <w:overflowPunct w:val="0"/>
        <w:spacing w:line="600" w:lineRule="exact"/>
        <w:ind w:firstLine="640" w:firstLineChars="200"/>
        <w:rPr>
          <w:rFonts w:asci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五）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（六）符合《台州市医疗保障定点医疗机构评估表》中各基础指标的要求，同时</w:t>
      </w:r>
      <w:r>
        <w:rPr>
          <w:rFonts w:hint="eastAsia" w:ascii="仿宋_GB2312" w:hAnsi="仿宋" w:eastAsia="仿宋_GB2312" w:cs="仿宋"/>
          <w:color w:val="000000" w:themeColor="text1"/>
          <w:spacing w:val="3"/>
          <w:sz w:val="32"/>
          <w:szCs w:val="32"/>
          <w14:textFill>
            <w14:solidFill>
              <w14:schemeClr w14:val="tx1"/>
            </w14:solidFill>
          </w14:textFill>
        </w:rPr>
        <w:t>评估指标</w:t>
      </w:r>
      <w:r>
        <w:rPr>
          <w:rFonts w:hint="eastAsia" w:ascii="仿宋_GB2312" w:hAnsi="仿宋_GB2312" w:eastAsia="仿宋_GB2312"/>
          <w:color w:val="000000" w:themeColor="text1"/>
          <w:kern w:val="0"/>
          <w:sz w:val="32"/>
          <w:szCs w:val="32"/>
          <w14:textFill>
            <w14:solidFill>
              <w14:schemeClr w14:val="tx1"/>
            </w14:solidFill>
          </w14:textFill>
        </w:rPr>
        <w:t>自评达到</w:t>
      </w:r>
      <w:r>
        <w:rPr>
          <w:rFonts w:hint="eastAsia" w:ascii="Times New Roman" w:hAnsi="Times New Roman" w:eastAsia="仿宋_GB2312" w:cs="Times New Roman"/>
          <w:color w:val="000000" w:themeColor="text1"/>
          <w:kern w:val="0"/>
          <w:sz w:val="32"/>
          <w:szCs w:val="32"/>
          <w14:textFill>
            <w14:solidFill>
              <w14:schemeClr w14:val="tx1"/>
            </w14:solidFill>
          </w14:textFill>
        </w:rPr>
        <w:t>8</w:t>
      </w:r>
      <w:r>
        <w:rPr>
          <w:rFonts w:ascii="Times New Roman" w:hAnsi="Times New Roman" w:eastAsia="仿宋_GB2312" w:cs="Times New Roman"/>
          <w:color w:val="000000" w:themeColor="text1"/>
          <w:kern w:val="0"/>
          <w:sz w:val="32"/>
          <w:szCs w:val="32"/>
          <w14:textFill>
            <w14:solidFill>
              <w14:schemeClr w14:val="tx1"/>
            </w14:solidFill>
          </w14:textFill>
        </w:rPr>
        <w:t>0</w:t>
      </w:r>
      <w:r>
        <w:rPr>
          <w:rFonts w:hint="eastAsia" w:ascii="仿宋_GB2312" w:hAnsi="仿宋_GB2312" w:eastAsia="仿宋_GB2312"/>
          <w:color w:val="000000" w:themeColor="text1"/>
          <w:kern w:val="0"/>
          <w:sz w:val="32"/>
          <w:szCs w:val="32"/>
          <w14:textFill>
            <w14:solidFill>
              <w14:schemeClr w14:val="tx1"/>
            </w14:solidFill>
          </w14:textFill>
        </w:rPr>
        <w:t>分及以上</w:t>
      </w:r>
      <w:r>
        <w:rPr>
          <w:rFonts w:hint="eastAsia" w:ascii="仿宋_GB2312" w:hAnsi="仿宋" w:eastAsia="仿宋_GB2312" w:cs="仿宋"/>
          <w:color w:val="000000" w:themeColor="text1"/>
          <w:spacing w:val="10"/>
          <w:sz w:val="32"/>
          <w:szCs w:val="32"/>
          <w14:textFill>
            <w14:solidFill>
              <w14:schemeClr w14:val="tx1"/>
            </w14:solidFill>
          </w14:textFill>
        </w:rPr>
        <w:t>；</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（七）符合法律法规和市级及以上医疗保障行政部门规定的其他条件。</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第五条</w:t>
      </w:r>
      <w:r>
        <w:rPr>
          <w:rFonts w:hint="eastAsia" w:hAnsi="仿宋_GB2312" w:eastAsia="仿宋_GB2312"/>
          <w:color w:val="000000" w:themeColor="text1"/>
          <w:kern w:val="0"/>
          <w:sz w:val="32"/>
          <w:szCs w:val="32"/>
          <w14:textFill>
            <w14:solidFill>
              <w14:schemeClr w14:val="tx1"/>
            </w14:solidFill>
          </w14:textFill>
        </w:rPr>
        <w:t xml:space="preserve"> 符合《通知》申请范围的零售药店申请纳入定点零售药店协议管理应具备以下条件：</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（一）</w:t>
      </w:r>
      <w:r>
        <w:rPr>
          <w:rFonts w:hAnsi="仿宋_GB2312" w:eastAsia="仿宋_GB2312"/>
          <w:color w:val="000000" w:themeColor="text1"/>
          <w:kern w:val="0"/>
          <w:sz w:val="32"/>
          <w:szCs w:val="32"/>
          <w14:textFill>
            <w14:solidFill>
              <w14:schemeClr w14:val="tx1"/>
            </w14:solidFill>
          </w14:textFill>
        </w:rPr>
        <w:t>在注册地址正式经营</w:t>
      </w:r>
      <w:r>
        <w:rPr>
          <w:rFonts w:hint="eastAsia" w:hAnsi="仿宋_GB2312" w:eastAsia="仿宋_GB2312"/>
          <w:color w:val="000000" w:themeColor="text1"/>
          <w:kern w:val="0"/>
          <w:sz w:val="32"/>
          <w:szCs w:val="32"/>
          <w14:textFill>
            <w14:solidFill>
              <w14:schemeClr w14:val="tx1"/>
            </w14:solidFill>
          </w14:textFill>
        </w:rPr>
        <w:t>（开展售药服务，有售药收支发生）</w:t>
      </w:r>
      <w:r>
        <w:rPr>
          <w:rFonts w:hAnsi="仿宋_GB2312" w:eastAsia="仿宋_GB2312"/>
          <w:color w:val="000000" w:themeColor="text1"/>
          <w:kern w:val="0"/>
          <w:sz w:val="32"/>
          <w:szCs w:val="32"/>
          <w14:textFill>
            <w14:solidFill>
              <w14:schemeClr w14:val="tx1"/>
            </w14:solidFill>
          </w14:textFill>
        </w:rPr>
        <w:t>至少</w:t>
      </w: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Ansi="仿宋_GB2312" w:eastAsia="仿宋_GB2312"/>
          <w:color w:val="000000" w:themeColor="text1"/>
          <w:kern w:val="0"/>
          <w:sz w:val="32"/>
          <w:szCs w:val="32"/>
          <w14:textFill>
            <w14:solidFill>
              <w14:schemeClr w14:val="tx1"/>
            </w14:solidFill>
          </w14:textFill>
        </w:rPr>
        <w:t>个月；</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（二）</w:t>
      </w:r>
      <w:r>
        <w:rPr>
          <w:rFonts w:hAnsi="仿宋_GB2312" w:eastAsia="仿宋_GB2312"/>
          <w:color w:val="000000" w:themeColor="text1"/>
          <w:kern w:val="0"/>
          <w:sz w:val="32"/>
          <w:szCs w:val="32"/>
          <w14:textFill>
            <w14:solidFill>
              <w14:schemeClr w14:val="tx1"/>
            </w14:solidFill>
          </w14:textFill>
        </w:rPr>
        <w:t>至少有</w:t>
      </w: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Ansi="仿宋_GB2312" w:eastAsia="仿宋_GB2312"/>
          <w:color w:val="000000" w:themeColor="text1"/>
          <w:kern w:val="0"/>
          <w:sz w:val="32"/>
          <w:szCs w:val="32"/>
          <w14:textFill>
            <w14:solidFill>
              <w14:schemeClr w14:val="tx1"/>
            </w14:solidFill>
          </w14:textFill>
        </w:rPr>
        <w:t>名取得执业药师资格证书或具有药学、临床药学、中药学专业技术资格证书的药师，且注册地在该零售药店，药师须签订</w:t>
      </w: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Ansi="仿宋_GB2312" w:eastAsia="仿宋_GB2312"/>
          <w:color w:val="000000" w:themeColor="text1"/>
          <w:kern w:val="0"/>
          <w:sz w:val="32"/>
          <w:szCs w:val="32"/>
          <w14:textFill>
            <w14:solidFill>
              <w14:schemeClr w14:val="tx1"/>
            </w14:solidFill>
          </w14:textFill>
        </w:rPr>
        <w:t>年</w:t>
      </w:r>
      <w:r>
        <w:rPr>
          <w:rFonts w:hint="eastAsia" w:hAnsi="仿宋_GB2312" w:eastAsia="仿宋_GB2312"/>
          <w:color w:val="000000" w:themeColor="text1"/>
          <w:kern w:val="0"/>
          <w:sz w:val="32"/>
          <w:szCs w:val="32"/>
          <w14:textFill>
            <w14:solidFill>
              <w14:schemeClr w14:val="tx1"/>
            </w14:solidFill>
          </w14:textFill>
        </w:rPr>
        <w:t>及</w:t>
      </w:r>
      <w:r>
        <w:rPr>
          <w:rFonts w:hAnsi="仿宋_GB2312" w:eastAsia="仿宋_GB2312"/>
          <w:color w:val="000000" w:themeColor="text1"/>
          <w:kern w:val="0"/>
          <w:sz w:val="32"/>
          <w:szCs w:val="32"/>
          <w14:textFill>
            <w14:solidFill>
              <w14:schemeClr w14:val="tx1"/>
            </w14:solidFill>
          </w14:textFill>
        </w:rPr>
        <w:t>以上劳动合同且在合同期内</w:t>
      </w:r>
      <w:r>
        <w:rPr>
          <w:rFonts w:hint="eastAsia" w:hAnsi="仿宋_GB2312" w:eastAsia="仿宋_GB2312"/>
          <w:color w:val="000000" w:themeColor="text1"/>
          <w:kern w:val="0"/>
          <w:sz w:val="32"/>
          <w:szCs w:val="32"/>
          <w14:textFill>
            <w14:solidFill>
              <w14:schemeClr w14:val="tx1"/>
            </w14:solidFill>
          </w14:textFill>
        </w:rPr>
        <w:t>；</w:t>
      </w:r>
      <w:r>
        <w:rPr>
          <w:rFonts w:hAnsi="仿宋_GB2312" w:eastAsia="仿宋_GB2312"/>
          <w:color w:val="000000" w:themeColor="text1"/>
          <w:spacing w:val="2"/>
          <w:kern w:val="0"/>
          <w:sz w:val="32"/>
          <w:szCs w:val="32"/>
          <w14:textFill>
            <w14:solidFill>
              <w14:schemeClr w14:val="tx1"/>
            </w14:solidFill>
          </w14:textFill>
        </w:rPr>
        <w:t>至少有</w:t>
      </w:r>
      <w:r>
        <w:rPr>
          <w:rFonts w:ascii="Times New Roman" w:hAnsi="Times New Roman" w:eastAsia="仿宋_GB2312" w:cs="Times New Roman"/>
          <w:color w:val="000000" w:themeColor="text1"/>
          <w:spacing w:val="2"/>
          <w:kern w:val="0"/>
          <w:sz w:val="32"/>
          <w:szCs w:val="32"/>
          <w14:textFill>
            <w14:solidFill>
              <w14:schemeClr w14:val="tx1"/>
            </w14:solidFill>
          </w14:textFill>
        </w:rPr>
        <w:t>2</w:t>
      </w:r>
      <w:r>
        <w:rPr>
          <w:rFonts w:hAnsi="仿宋_GB2312" w:eastAsia="仿宋_GB2312"/>
          <w:color w:val="000000" w:themeColor="text1"/>
          <w:spacing w:val="2"/>
          <w:kern w:val="0"/>
          <w:sz w:val="32"/>
          <w:szCs w:val="32"/>
          <w14:textFill>
            <w14:solidFill>
              <w14:schemeClr w14:val="tx1"/>
            </w14:solidFill>
          </w14:textFill>
        </w:rPr>
        <w:t>名熟悉医疗保障法律法规和相关制度规定的</w:t>
      </w:r>
      <w:r>
        <w:rPr>
          <w:rFonts w:hAnsi="仿宋_GB2312" w:eastAsia="仿宋_GB2312"/>
          <w:color w:val="000000" w:themeColor="text1"/>
          <w:kern w:val="0"/>
          <w:sz w:val="32"/>
          <w:szCs w:val="32"/>
          <w14:textFill>
            <w14:solidFill>
              <w14:schemeClr w14:val="tx1"/>
            </w14:solidFill>
          </w14:textFill>
        </w:rPr>
        <w:t>专（兼）职医保管理人员负责管理医保费用，并签订</w:t>
      </w: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Ansi="仿宋_GB2312" w:eastAsia="仿宋_GB2312"/>
          <w:color w:val="000000" w:themeColor="text1"/>
          <w:kern w:val="0"/>
          <w:sz w:val="32"/>
          <w:szCs w:val="32"/>
          <w14:textFill>
            <w14:solidFill>
              <w14:schemeClr w14:val="tx1"/>
            </w14:solidFill>
          </w14:textFill>
        </w:rPr>
        <w:t>年</w:t>
      </w:r>
      <w:r>
        <w:rPr>
          <w:rFonts w:hint="eastAsia" w:hAnsi="仿宋_GB2312" w:eastAsia="仿宋_GB2312"/>
          <w:color w:val="000000" w:themeColor="text1"/>
          <w:kern w:val="0"/>
          <w:sz w:val="32"/>
          <w:szCs w:val="32"/>
          <w14:textFill>
            <w14:solidFill>
              <w14:schemeClr w14:val="tx1"/>
            </w14:solidFill>
          </w14:textFill>
        </w:rPr>
        <w:t>及</w:t>
      </w:r>
      <w:r>
        <w:rPr>
          <w:rFonts w:hAnsi="仿宋_GB2312" w:eastAsia="仿宋_GB2312"/>
          <w:color w:val="000000" w:themeColor="text1"/>
          <w:kern w:val="0"/>
          <w:sz w:val="32"/>
          <w:szCs w:val="32"/>
          <w14:textFill>
            <w14:solidFill>
              <w14:schemeClr w14:val="tx1"/>
            </w14:solidFill>
          </w14:textFill>
        </w:rPr>
        <w:t>以上劳动合同且在合同期内；</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（三）</w:t>
      </w:r>
      <w:r>
        <w:rPr>
          <w:rFonts w:hAnsi="仿宋_GB2312" w:eastAsia="仿宋_GB2312"/>
          <w:color w:val="000000" w:themeColor="text1"/>
          <w:kern w:val="0"/>
          <w:sz w:val="32"/>
          <w:szCs w:val="32"/>
          <w14:textFill>
            <w14:solidFill>
              <w14:schemeClr w14:val="tx1"/>
            </w14:solidFill>
          </w14:textFill>
        </w:rPr>
        <w:t>按药品经营质量管理规范要求，开展药品分类分区管理，并对所售药品设立明确的医保用药标识；</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（四）</w:t>
      </w:r>
      <w:r>
        <w:rPr>
          <w:rFonts w:hAnsi="仿宋_GB2312" w:eastAsia="仿宋_GB2312"/>
          <w:color w:val="000000" w:themeColor="text1"/>
          <w:kern w:val="0"/>
          <w:sz w:val="32"/>
          <w:szCs w:val="32"/>
          <w14:textFill>
            <w14:solidFill>
              <w14:schemeClr w14:val="tx1"/>
            </w14:solidFill>
          </w14:textFill>
        </w:rPr>
        <w:t>具有符合医保协议管理要求的医保药品管理制度、财务管理制度、医保人员管理制度、统计信息管理制度和医保费用结算制度；</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（五）</w:t>
      </w:r>
      <w:r>
        <w:rPr>
          <w:rFonts w:hAnsi="仿宋_GB2312" w:eastAsia="仿宋_GB2312"/>
          <w:color w:val="000000" w:themeColor="text1"/>
          <w:kern w:val="0"/>
          <w:sz w:val="32"/>
          <w:szCs w:val="32"/>
          <w14:textFill>
            <w14:solidFill>
              <w14:schemeClr w14:val="tx1"/>
            </w14:solidFill>
          </w14:textFill>
        </w:rPr>
        <w:t>具备符合医保协议管理要求的信息系统技术和接口标准，实现与医保信息系统有效对接，为参保人员提供直接联网结算，建立医保药品等基础数据库，按规定使用国家统一医保编码；</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（六）</w:t>
      </w:r>
      <w:r>
        <w:rPr>
          <w:rFonts w:hint="eastAsia" w:ascii="仿宋_GB2312" w:hAnsi="仿宋" w:eastAsia="仿宋_GB2312" w:cs="仿宋"/>
          <w:color w:val="000000" w:themeColor="text1"/>
          <w:spacing w:val="-12"/>
          <w:sz w:val="32"/>
          <w:szCs w:val="32"/>
          <w14:textFill>
            <w14:solidFill>
              <w14:schemeClr w14:val="tx1"/>
            </w14:solidFill>
          </w14:textFill>
        </w:rPr>
        <w:t>符合《台州市医疗保障定点零售药店评估表》</w:t>
      </w:r>
      <w:r>
        <w:rPr>
          <w:rFonts w:hint="eastAsia" w:ascii="仿宋_GB2312" w:hAnsi="仿宋" w:eastAsia="仿宋_GB2312" w:cs="仿宋"/>
          <w:color w:val="000000" w:themeColor="text1"/>
          <w:spacing w:val="3"/>
          <w:sz w:val="32"/>
          <w:szCs w:val="32"/>
          <w14:textFill>
            <w14:solidFill>
              <w14:schemeClr w14:val="tx1"/>
            </w14:solidFill>
          </w14:textFill>
        </w:rPr>
        <w:t>中各基础指标的要求,同时评估指标</w:t>
      </w:r>
      <w:r>
        <w:rPr>
          <w:rFonts w:hint="eastAsia" w:ascii="仿宋_GB2312" w:hAnsi="仿宋" w:eastAsia="仿宋_GB2312" w:cs="仿宋"/>
          <w:color w:val="000000" w:themeColor="text1"/>
          <w:spacing w:val="10"/>
          <w:sz w:val="32"/>
          <w:szCs w:val="32"/>
          <w14:textFill>
            <w14:solidFill>
              <w14:schemeClr w14:val="tx1"/>
            </w14:solidFill>
          </w14:textFill>
        </w:rPr>
        <w:t>自评达到</w:t>
      </w:r>
      <w:r>
        <w:rPr>
          <w:rFonts w:hint="eastAsia" w:ascii="Times New Roman" w:hAnsi="Times New Roman" w:eastAsia="仿宋_GB2312" w:cs="Times New Roman"/>
          <w:color w:val="000000" w:themeColor="text1"/>
          <w:spacing w:val="10"/>
          <w:sz w:val="32"/>
          <w:szCs w:val="32"/>
          <w14:textFill>
            <w14:solidFill>
              <w14:schemeClr w14:val="tx1"/>
            </w14:solidFill>
          </w14:textFill>
        </w:rPr>
        <w:t>8</w:t>
      </w:r>
      <w:r>
        <w:rPr>
          <w:rFonts w:ascii="Times New Roman" w:hAnsi="Times New Roman" w:eastAsia="仿宋_GB2312" w:cs="Times New Roman"/>
          <w:color w:val="000000" w:themeColor="text1"/>
          <w:spacing w:val="10"/>
          <w:sz w:val="32"/>
          <w:szCs w:val="32"/>
          <w14:textFill>
            <w14:solidFill>
              <w14:schemeClr w14:val="tx1"/>
            </w14:solidFill>
          </w14:textFill>
        </w:rPr>
        <w:t>0</w:t>
      </w:r>
      <w:r>
        <w:rPr>
          <w:rFonts w:hint="eastAsia" w:ascii="仿宋_GB2312" w:hAnsi="仿宋" w:eastAsia="仿宋_GB2312" w:cs="仿宋"/>
          <w:color w:val="000000" w:themeColor="text1"/>
          <w:spacing w:val="10"/>
          <w:sz w:val="32"/>
          <w:szCs w:val="32"/>
          <w14:textFill>
            <w14:solidFill>
              <w14:schemeClr w14:val="tx1"/>
            </w14:solidFill>
          </w14:textFill>
        </w:rPr>
        <w:t>分及以上；</w:t>
      </w:r>
    </w:p>
    <w:p>
      <w:pPr>
        <w:shd w:val="clear" w:color="auto" w:fill="FFFFFF"/>
        <w:overflowPunct w:val="0"/>
        <w:spacing w:line="600" w:lineRule="exact"/>
        <w:ind w:firstLine="640" w:firstLineChars="200"/>
        <w:rPr>
          <w:rFonts w:asci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（七）符合法律法规和市级及以上医疗保障行政部门规定的其他条件。</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第六条</w:t>
      </w:r>
      <w:r>
        <w:rPr>
          <w:rFonts w:hint="eastAsia" w:hAnsi="仿宋_GB2312" w:eastAsia="仿宋_GB2312"/>
          <w:color w:val="000000" w:themeColor="text1"/>
          <w:kern w:val="0"/>
          <w:sz w:val="32"/>
          <w:szCs w:val="32"/>
          <w14:textFill>
            <w14:solidFill>
              <w14:schemeClr w14:val="tx1"/>
            </w14:solidFill>
          </w14:textFill>
        </w:rPr>
        <w:t xml:space="preserve"> 医疗机构有下列情形之一的，不予受理定点申请：</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（一）</w:t>
      </w:r>
      <w:r>
        <w:rPr>
          <w:rFonts w:hint="eastAsia" w:ascii="仿宋_GB2312" w:hAnsi="仿宋" w:eastAsia="仿宋_GB2312" w:cs="仿宋"/>
          <w:color w:val="000000" w:themeColor="text1"/>
          <w:spacing w:val="3"/>
          <w:sz w:val="32"/>
          <w:szCs w:val="32"/>
          <w14:textFill>
            <w14:solidFill>
              <w14:schemeClr w14:val="tx1"/>
            </w14:solidFill>
          </w14:textFill>
        </w:rPr>
        <w:t>以医疗美容、辅助生殖、生活照护、种植牙等非基本医疗服务为主要执业范围的；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（二）</w:t>
      </w:r>
      <w:r>
        <w:rPr>
          <w:rFonts w:hint="eastAsia" w:ascii="仿宋_GB2312" w:hAnsi="仿宋" w:eastAsia="仿宋_GB2312" w:cs="仿宋"/>
          <w:color w:val="000000" w:themeColor="text1"/>
          <w:spacing w:val="3"/>
          <w:sz w:val="32"/>
          <w:szCs w:val="32"/>
          <w14:textFill>
            <w14:solidFill>
              <w14:schemeClr w14:val="tx1"/>
            </w14:solidFill>
          </w14:textFill>
        </w:rPr>
        <w:t>基本医疗服务未执行医疗保障行政部门制定的医药价格政策的；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（三）</w:t>
      </w:r>
      <w:r>
        <w:rPr>
          <w:rFonts w:hint="eastAsia" w:ascii="仿宋_GB2312" w:hAnsi="仿宋" w:eastAsia="仿宋_GB2312" w:cs="仿宋"/>
          <w:color w:val="000000" w:themeColor="text1"/>
          <w:spacing w:val="3"/>
          <w:sz w:val="32"/>
          <w:szCs w:val="32"/>
          <w14:textFill>
            <w14:solidFill>
              <w14:schemeClr w14:val="tx1"/>
            </w14:solidFill>
          </w14:textFill>
        </w:rPr>
        <w:t>未依法履行行政处罚责任的；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（四）</w:t>
      </w:r>
      <w:r>
        <w:rPr>
          <w:rFonts w:hint="eastAsia" w:ascii="仿宋_GB2312" w:hAnsi="仿宋" w:eastAsia="仿宋_GB2312" w:cs="仿宋"/>
          <w:color w:val="000000" w:themeColor="text1"/>
          <w:spacing w:val="3"/>
          <w:sz w:val="32"/>
          <w:szCs w:val="32"/>
          <w14:textFill>
            <w14:solidFill>
              <w14:schemeClr w14:val="tx1"/>
            </w14:solidFill>
          </w14:textFill>
        </w:rPr>
        <w:t>以弄虚作假等不正当手段申请定点，自发现之日起未满</w:t>
      </w:r>
      <w:r>
        <w:rPr>
          <w:rFonts w:ascii="Times New Roman" w:hAnsi="Times New Roman" w:eastAsia="仿宋_GB2312" w:cs="Times New Roman"/>
          <w:color w:val="000000" w:themeColor="text1"/>
          <w:spacing w:val="3"/>
          <w:sz w:val="32"/>
          <w:szCs w:val="32"/>
          <w14:textFill>
            <w14:solidFill>
              <w14:schemeClr w14:val="tx1"/>
            </w14:solidFill>
          </w14:textFill>
        </w:rPr>
        <w:t>3</w:t>
      </w:r>
      <w:r>
        <w:rPr>
          <w:rFonts w:hint="eastAsia" w:ascii="仿宋_GB2312" w:hAnsi="仿宋" w:eastAsia="仿宋_GB2312" w:cs="仿宋"/>
          <w:color w:val="000000" w:themeColor="text1"/>
          <w:spacing w:val="3"/>
          <w:sz w:val="32"/>
          <w:szCs w:val="32"/>
          <w14:textFill>
            <w14:solidFill>
              <w14:schemeClr w14:val="tx1"/>
            </w14:solidFill>
          </w14:textFill>
        </w:rPr>
        <w:t>年的；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（五）</w:t>
      </w:r>
      <w:r>
        <w:rPr>
          <w:rFonts w:hint="eastAsia" w:ascii="仿宋_GB2312" w:hAnsi="仿宋" w:eastAsia="仿宋_GB2312" w:cs="仿宋"/>
          <w:color w:val="000000" w:themeColor="text1"/>
          <w:spacing w:val="3"/>
          <w:sz w:val="32"/>
          <w:szCs w:val="32"/>
          <w14:textFill>
            <w14:solidFill>
              <w14:schemeClr w14:val="tx1"/>
            </w14:solidFill>
          </w14:textFill>
        </w:rPr>
        <w:t>因违法违规被解除医保协议未满</w:t>
      </w:r>
      <w:r>
        <w:rPr>
          <w:rFonts w:ascii="Times New Roman" w:hAnsi="Times New Roman" w:eastAsia="仿宋_GB2312" w:cs="Times New Roman"/>
          <w:color w:val="000000" w:themeColor="text1"/>
          <w:spacing w:val="3"/>
          <w:sz w:val="32"/>
          <w:szCs w:val="32"/>
          <w14:textFill>
            <w14:solidFill>
              <w14:schemeClr w14:val="tx1"/>
            </w14:solidFill>
          </w14:textFill>
        </w:rPr>
        <w:t>3</w:t>
      </w:r>
      <w:r>
        <w:rPr>
          <w:rFonts w:hint="eastAsia" w:ascii="仿宋_GB2312" w:hAnsi="仿宋" w:eastAsia="仿宋_GB2312" w:cs="仿宋"/>
          <w:color w:val="000000" w:themeColor="text1"/>
          <w:spacing w:val="3"/>
          <w:sz w:val="32"/>
          <w:szCs w:val="32"/>
          <w14:textFill>
            <w14:solidFill>
              <w14:schemeClr w14:val="tx1"/>
            </w14:solidFill>
          </w14:textFill>
        </w:rPr>
        <w:t>年或已满</w:t>
      </w:r>
      <w:r>
        <w:rPr>
          <w:rFonts w:ascii="Times New Roman" w:hAnsi="Times New Roman" w:eastAsia="仿宋_GB2312" w:cs="Times New Roman"/>
          <w:color w:val="000000" w:themeColor="text1"/>
          <w:spacing w:val="3"/>
          <w:sz w:val="32"/>
          <w:szCs w:val="32"/>
          <w14:textFill>
            <w14:solidFill>
              <w14:schemeClr w14:val="tx1"/>
            </w14:solidFill>
          </w14:textFill>
        </w:rPr>
        <w:t>3</w:t>
      </w:r>
      <w:r>
        <w:rPr>
          <w:rFonts w:hint="eastAsia" w:ascii="仿宋_GB2312" w:hAnsi="仿宋" w:eastAsia="仿宋_GB2312" w:cs="仿宋"/>
          <w:color w:val="000000" w:themeColor="text1"/>
          <w:spacing w:val="3"/>
          <w:sz w:val="32"/>
          <w:szCs w:val="32"/>
          <w14:textFill>
            <w14:solidFill>
              <w14:schemeClr w14:val="tx1"/>
            </w14:solidFill>
          </w14:textFill>
        </w:rPr>
        <w:t>年但未完全履行行政处罚法律责任的；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（六）</w:t>
      </w:r>
      <w:r>
        <w:rPr>
          <w:rFonts w:hint="eastAsia" w:ascii="仿宋_GB2312" w:hAnsi="仿宋" w:eastAsia="仿宋_GB2312" w:cs="仿宋"/>
          <w:color w:val="000000" w:themeColor="text1"/>
          <w:spacing w:val="3"/>
          <w:sz w:val="32"/>
          <w:szCs w:val="32"/>
          <w14:textFill>
            <w14:solidFill>
              <w14:schemeClr w14:val="tx1"/>
            </w14:solidFill>
          </w14:textFill>
        </w:rPr>
        <w:t>因严重违反医保协议约定而被解除协议未满</w:t>
      </w:r>
      <w:r>
        <w:rPr>
          <w:rFonts w:ascii="Times New Roman" w:hAnsi="Times New Roman" w:eastAsia="仿宋_GB2312" w:cs="Times New Roman"/>
          <w:color w:val="000000" w:themeColor="text1"/>
          <w:spacing w:val="3"/>
          <w:sz w:val="32"/>
          <w:szCs w:val="32"/>
          <w14:textFill>
            <w14:solidFill>
              <w14:schemeClr w14:val="tx1"/>
            </w14:solidFill>
          </w14:textFill>
        </w:rPr>
        <w:t>1</w:t>
      </w:r>
      <w:r>
        <w:rPr>
          <w:rFonts w:hint="eastAsia" w:ascii="仿宋_GB2312" w:hAnsi="仿宋" w:eastAsia="仿宋_GB2312" w:cs="仿宋"/>
          <w:color w:val="000000" w:themeColor="text1"/>
          <w:spacing w:val="3"/>
          <w:sz w:val="32"/>
          <w:szCs w:val="32"/>
          <w14:textFill>
            <w14:solidFill>
              <w14:schemeClr w14:val="tx1"/>
            </w14:solidFill>
          </w14:textFill>
        </w:rPr>
        <w:t>年或已满</w:t>
      </w:r>
      <w:r>
        <w:rPr>
          <w:rFonts w:ascii="Times New Roman" w:hAnsi="Times New Roman" w:eastAsia="仿宋_GB2312" w:cs="Times New Roman"/>
          <w:color w:val="000000" w:themeColor="text1"/>
          <w:spacing w:val="3"/>
          <w:sz w:val="32"/>
          <w:szCs w:val="32"/>
          <w14:textFill>
            <w14:solidFill>
              <w14:schemeClr w14:val="tx1"/>
            </w14:solidFill>
          </w14:textFill>
        </w:rPr>
        <w:t>1</w:t>
      </w:r>
      <w:r>
        <w:rPr>
          <w:rFonts w:hint="eastAsia" w:ascii="仿宋_GB2312" w:hAnsi="仿宋" w:eastAsia="仿宋_GB2312" w:cs="仿宋"/>
          <w:color w:val="000000" w:themeColor="text1"/>
          <w:spacing w:val="3"/>
          <w:sz w:val="32"/>
          <w:szCs w:val="32"/>
          <w14:textFill>
            <w14:solidFill>
              <w14:schemeClr w14:val="tx1"/>
            </w14:solidFill>
          </w14:textFill>
        </w:rPr>
        <w:t>年但未完全履行违约责任的；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（七）</w:t>
      </w:r>
      <w:r>
        <w:rPr>
          <w:rFonts w:hint="eastAsia" w:ascii="仿宋_GB2312" w:hAnsi="仿宋" w:eastAsia="仿宋_GB2312" w:cs="仿宋"/>
          <w:color w:val="000000" w:themeColor="text1"/>
          <w:spacing w:val="3"/>
          <w:sz w:val="32"/>
          <w:szCs w:val="32"/>
          <w14:textFill>
            <w14:solidFill>
              <w14:schemeClr w14:val="tx1"/>
            </w14:solidFill>
          </w14:textFill>
        </w:rPr>
        <w:t>法定代表人、主要负责人或实际控制人曾因严重违法违规导致原定点医疗机构被解除医保协议，未满</w:t>
      </w:r>
      <w:r>
        <w:rPr>
          <w:rFonts w:ascii="Times New Roman" w:hAnsi="Times New Roman" w:eastAsia="仿宋_GB2312" w:cs="Times New Roman"/>
          <w:color w:val="000000" w:themeColor="text1"/>
          <w:spacing w:val="3"/>
          <w:sz w:val="32"/>
          <w:szCs w:val="32"/>
          <w14:textFill>
            <w14:solidFill>
              <w14:schemeClr w14:val="tx1"/>
            </w14:solidFill>
          </w14:textFill>
        </w:rPr>
        <w:t>5</w:t>
      </w:r>
      <w:r>
        <w:rPr>
          <w:rFonts w:hint="eastAsia" w:ascii="仿宋_GB2312" w:hAnsi="仿宋" w:eastAsia="仿宋_GB2312" w:cs="仿宋"/>
          <w:color w:val="000000" w:themeColor="text1"/>
          <w:spacing w:val="3"/>
          <w:sz w:val="32"/>
          <w:szCs w:val="32"/>
          <w14:textFill>
            <w14:solidFill>
              <w14:schemeClr w14:val="tx1"/>
            </w14:solidFill>
          </w14:textFill>
        </w:rPr>
        <w:t>年的；</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（八）</w:t>
      </w:r>
      <w:r>
        <w:rPr>
          <w:rFonts w:hint="eastAsia" w:ascii="仿宋_GB2312" w:hAnsi="仿宋" w:eastAsia="仿宋_GB2312" w:cs="仿宋"/>
          <w:color w:val="000000" w:themeColor="text1"/>
          <w:spacing w:val="3"/>
          <w:sz w:val="32"/>
          <w:szCs w:val="32"/>
          <w14:textFill>
            <w14:solidFill>
              <w14:schemeClr w14:val="tx1"/>
            </w14:solidFill>
          </w14:textFill>
        </w:rPr>
        <w:t>法定代表人、主要负责人或实际控制人被列入失信人名单的；</w:t>
      </w:r>
      <w:r>
        <w:rPr>
          <w:rFonts w:hAnsi="仿宋_GB2312" w:eastAsia="仿宋_GB2312"/>
          <w:color w:val="000000" w:themeColor="text1"/>
          <w:kern w:val="0"/>
          <w:sz w:val="32"/>
          <w:szCs w:val="32"/>
          <w14:textFill>
            <w14:solidFill>
              <w14:schemeClr w14:val="tx1"/>
            </w14:solidFill>
          </w14:textFill>
        </w:rPr>
        <w:t>因医疗服务行为受到有关行政部门处罚未满</w:t>
      </w:r>
      <w:r>
        <w:rPr>
          <w:rFonts w:eastAsia="仿宋_GB2312"/>
          <w:color w:val="000000" w:themeColor="text1"/>
          <w:kern w:val="0"/>
          <w:sz w:val="32"/>
          <w:szCs w:val="32"/>
          <w14:textFill>
            <w14:solidFill>
              <w14:schemeClr w14:val="tx1"/>
            </w14:solidFill>
          </w14:textFill>
        </w:rPr>
        <w:t>1</w:t>
      </w:r>
      <w:r>
        <w:rPr>
          <w:rFonts w:hAnsi="仿宋_GB2312" w:eastAsia="仿宋_GB2312"/>
          <w:color w:val="000000" w:themeColor="text1"/>
          <w:kern w:val="0"/>
          <w:sz w:val="32"/>
          <w:szCs w:val="32"/>
          <w14:textFill>
            <w14:solidFill>
              <w14:schemeClr w14:val="tx1"/>
            </w14:solidFill>
          </w14:textFill>
        </w:rPr>
        <w:t>年的；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（九）</w:t>
      </w:r>
      <w:r>
        <w:rPr>
          <w:rFonts w:hint="eastAsia" w:ascii="仿宋_GB2312" w:hAnsi="仿宋" w:eastAsia="仿宋_GB2312" w:cs="仿宋"/>
          <w:color w:val="000000" w:themeColor="text1"/>
          <w:spacing w:val="3"/>
          <w:sz w:val="32"/>
          <w:szCs w:val="32"/>
          <w14:textFill>
            <w14:solidFill>
              <w14:schemeClr w14:val="tx1"/>
            </w14:solidFill>
          </w14:textFill>
        </w:rPr>
        <w:t>近</w:t>
      </w:r>
      <w:r>
        <w:rPr>
          <w:rFonts w:ascii="Times New Roman" w:hAnsi="Times New Roman" w:eastAsia="仿宋_GB2312" w:cs="Times New Roman"/>
          <w:color w:val="000000" w:themeColor="text1"/>
          <w:spacing w:val="3"/>
          <w:sz w:val="32"/>
          <w:szCs w:val="32"/>
          <w14:textFill>
            <w14:solidFill>
              <w14:schemeClr w14:val="tx1"/>
            </w14:solidFill>
          </w14:textFill>
        </w:rPr>
        <w:t>2</w:t>
      </w:r>
      <w:r>
        <w:rPr>
          <w:rFonts w:hint="eastAsia" w:ascii="仿宋_GB2312" w:hAnsi="仿宋" w:eastAsia="仿宋_GB2312" w:cs="仿宋"/>
          <w:color w:val="000000" w:themeColor="text1"/>
          <w:spacing w:val="3"/>
          <w:sz w:val="32"/>
          <w:szCs w:val="32"/>
          <w14:textFill>
            <w14:solidFill>
              <w14:schemeClr w14:val="tx1"/>
            </w14:solidFill>
          </w14:textFill>
        </w:rPr>
        <w:t>年内有非法行医、非法医疗广告、诊室外包等不规范经营行为的；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（十）</w:t>
      </w:r>
      <w:r>
        <w:rPr>
          <w:rFonts w:hint="eastAsia" w:ascii="仿宋_GB2312" w:hAnsi="仿宋" w:eastAsia="仿宋_GB2312" w:cs="仿宋"/>
          <w:color w:val="000000" w:themeColor="text1"/>
          <w:spacing w:val="3"/>
          <w:sz w:val="32"/>
          <w:szCs w:val="32"/>
          <w14:textFill>
            <w14:solidFill>
              <w14:schemeClr w14:val="tx1"/>
            </w14:solidFill>
          </w14:textFill>
        </w:rPr>
        <w:t>同一法人主体（投资主体）的相关定点医疗机构，</w:t>
      </w:r>
      <w:r>
        <w:rPr>
          <w:rFonts w:ascii="Times New Roman" w:hAnsi="Times New Roman" w:eastAsia="仿宋_GB2312" w:cs="Times New Roman"/>
          <w:color w:val="000000" w:themeColor="text1"/>
          <w:spacing w:val="3"/>
          <w:sz w:val="32"/>
          <w:szCs w:val="32"/>
          <w14:textFill>
            <w14:solidFill>
              <w14:schemeClr w14:val="tx1"/>
            </w14:solidFill>
          </w14:textFill>
        </w:rPr>
        <w:t>1</w:t>
      </w:r>
      <w:r>
        <w:rPr>
          <w:rFonts w:hint="eastAsia" w:ascii="仿宋_GB2312" w:hAnsi="仿宋" w:eastAsia="仿宋_GB2312" w:cs="仿宋"/>
          <w:color w:val="000000" w:themeColor="text1"/>
          <w:spacing w:val="3"/>
          <w:sz w:val="32"/>
          <w:szCs w:val="32"/>
          <w14:textFill>
            <w14:solidFill>
              <w14:schemeClr w14:val="tx1"/>
            </w14:solidFill>
          </w14:textFill>
        </w:rPr>
        <w:t>年内有被暂停、解除或终止医保协议和正在接受各相关部门调查处理等情况的；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（十一）</w:t>
      </w:r>
      <w:r>
        <w:rPr>
          <w:rFonts w:hint="eastAsia" w:ascii="仿宋_GB2312" w:hAnsi="仿宋" w:eastAsia="仿宋_GB2312" w:cs="仿宋"/>
          <w:color w:val="000000" w:themeColor="text1"/>
          <w:spacing w:val="3"/>
          <w:sz w:val="32"/>
          <w:szCs w:val="32"/>
          <w14:textFill>
            <w14:solidFill>
              <w14:schemeClr w14:val="tx1"/>
            </w14:solidFill>
          </w14:textFill>
        </w:rPr>
        <w:t>法律法规规定的其他不予受理的情形。</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第七条</w:t>
      </w:r>
      <w:r>
        <w:rPr>
          <w:rFonts w:hint="eastAsia" w:ascii="仿宋_GB2312" w:hAnsi="仿宋" w:eastAsia="仿宋_GB2312" w:cs="仿宋"/>
          <w:color w:val="000000" w:themeColor="text1"/>
          <w:spacing w:val="3"/>
          <w:sz w:val="32"/>
          <w:szCs w:val="32"/>
          <w14:textFill>
            <w14:solidFill>
              <w14:schemeClr w14:val="tx1"/>
            </w14:solidFill>
          </w14:textFill>
        </w:rPr>
        <w:t xml:space="preserve"> 零售药店有下列情形之一的，不予受理定点申请：</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（一）</w:t>
      </w:r>
      <w:r>
        <w:rPr>
          <w:rFonts w:hint="eastAsia" w:ascii="仿宋_GB2312" w:hAnsi="仿宋" w:eastAsia="仿宋_GB2312" w:cs="仿宋"/>
          <w:color w:val="000000" w:themeColor="text1"/>
          <w:spacing w:val="3"/>
          <w:sz w:val="32"/>
          <w:szCs w:val="32"/>
          <w14:textFill>
            <w14:solidFill>
              <w14:schemeClr w14:val="tx1"/>
            </w14:solidFill>
          </w14:textFill>
        </w:rPr>
        <w:t>未依法履行行政处罚责任的;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（二）</w:t>
      </w:r>
      <w:r>
        <w:rPr>
          <w:rFonts w:hint="eastAsia" w:ascii="仿宋_GB2312" w:hAnsi="仿宋" w:eastAsia="仿宋_GB2312" w:cs="仿宋"/>
          <w:color w:val="000000" w:themeColor="text1"/>
          <w:spacing w:val="3"/>
          <w:sz w:val="32"/>
          <w:szCs w:val="32"/>
          <w14:textFill>
            <w14:solidFill>
              <w14:schemeClr w14:val="tx1"/>
            </w14:solidFill>
          </w14:textFill>
        </w:rPr>
        <w:t>以弄虚作假等不正当手段申请定点，自发现之日起未满</w:t>
      </w:r>
      <w:r>
        <w:rPr>
          <w:rFonts w:ascii="Times New Roman" w:hAnsi="Times New Roman" w:eastAsia="仿宋_GB2312" w:cs="Times New Roman"/>
          <w:color w:val="000000" w:themeColor="text1"/>
          <w:spacing w:val="3"/>
          <w:sz w:val="32"/>
          <w:szCs w:val="32"/>
          <w14:textFill>
            <w14:solidFill>
              <w14:schemeClr w14:val="tx1"/>
            </w14:solidFill>
          </w14:textFill>
        </w:rPr>
        <w:t>3</w:t>
      </w:r>
      <w:r>
        <w:rPr>
          <w:rFonts w:hint="eastAsia" w:ascii="仿宋_GB2312" w:hAnsi="仿宋" w:eastAsia="仿宋_GB2312" w:cs="仿宋"/>
          <w:color w:val="000000" w:themeColor="text1"/>
          <w:spacing w:val="3"/>
          <w:sz w:val="32"/>
          <w:szCs w:val="32"/>
          <w14:textFill>
            <w14:solidFill>
              <w14:schemeClr w14:val="tx1"/>
            </w14:solidFill>
          </w14:textFill>
        </w:rPr>
        <w:t>年的;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（三）</w:t>
      </w:r>
      <w:r>
        <w:rPr>
          <w:rFonts w:hint="eastAsia" w:ascii="仿宋_GB2312" w:hAnsi="仿宋" w:eastAsia="仿宋_GB2312" w:cs="仿宋"/>
          <w:color w:val="000000" w:themeColor="text1"/>
          <w:spacing w:val="3"/>
          <w:sz w:val="32"/>
          <w:szCs w:val="32"/>
          <w14:textFill>
            <w14:solidFill>
              <w14:schemeClr w14:val="tx1"/>
            </w14:solidFill>
          </w14:textFill>
        </w:rPr>
        <w:t>因违法违规被解除医保协议未满</w:t>
      </w:r>
      <w:r>
        <w:rPr>
          <w:rFonts w:ascii="Times New Roman" w:hAnsi="Times New Roman" w:eastAsia="仿宋_GB2312" w:cs="Times New Roman"/>
          <w:color w:val="000000" w:themeColor="text1"/>
          <w:spacing w:val="3"/>
          <w:sz w:val="32"/>
          <w:szCs w:val="32"/>
          <w14:textFill>
            <w14:solidFill>
              <w14:schemeClr w14:val="tx1"/>
            </w14:solidFill>
          </w14:textFill>
        </w:rPr>
        <w:t>3</w:t>
      </w:r>
      <w:r>
        <w:rPr>
          <w:rFonts w:hint="eastAsia" w:ascii="仿宋_GB2312" w:hAnsi="仿宋" w:eastAsia="仿宋_GB2312" w:cs="仿宋"/>
          <w:color w:val="000000" w:themeColor="text1"/>
          <w:spacing w:val="3"/>
          <w:sz w:val="32"/>
          <w:szCs w:val="32"/>
          <w14:textFill>
            <w14:solidFill>
              <w14:schemeClr w14:val="tx1"/>
            </w14:solidFill>
          </w14:textFill>
        </w:rPr>
        <w:t>年或已满</w:t>
      </w:r>
      <w:r>
        <w:rPr>
          <w:rFonts w:ascii="Times New Roman" w:hAnsi="Times New Roman" w:eastAsia="仿宋_GB2312" w:cs="Times New Roman"/>
          <w:color w:val="000000" w:themeColor="text1"/>
          <w:spacing w:val="3"/>
          <w:sz w:val="32"/>
          <w:szCs w:val="32"/>
          <w14:textFill>
            <w14:solidFill>
              <w14:schemeClr w14:val="tx1"/>
            </w14:solidFill>
          </w14:textFill>
        </w:rPr>
        <w:t>3</w:t>
      </w:r>
      <w:r>
        <w:rPr>
          <w:rFonts w:hint="eastAsia" w:ascii="仿宋_GB2312" w:hAnsi="仿宋" w:eastAsia="仿宋_GB2312" w:cs="仿宋"/>
          <w:color w:val="000000" w:themeColor="text1"/>
          <w:spacing w:val="3"/>
          <w:sz w:val="32"/>
          <w:szCs w:val="32"/>
          <w14:textFill>
            <w14:solidFill>
              <w14:schemeClr w14:val="tx1"/>
            </w14:solidFill>
          </w14:textFill>
        </w:rPr>
        <w:t>年但未完全履行行政处罚法律责任的;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（四）</w:t>
      </w:r>
      <w:r>
        <w:rPr>
          <w:rFonts w:hint="eastAsia" w:ascii="仿宋_GB2312" w:hAnsi="仿宋" w:eastAsia="仿宋_GB2312" w:cs="仿宋"/>
          <w:color w:val="000000" w:themeColor="text1"/>
          <w:spacing w:val="3"/>
          <w:sz w:val="32"/>
          <w:szCs w:val="32"/>
          <w14:textFill>
            <w14:solidFill>
              <w14:schemeClr w14:val="tx1"/>
            </w14:solidFill>
          </w14:textFill>
        </w:rPr>
        <w:t>因严重违反医保协议约定而被解除医保协议未满</w:t>
      </w:r>
      <w:r>
        <w:rPr>
          <w:rFonts w:ascii="Times New Roman" w:hAnsi="Times New Roman" w:eastAsia="仿宋_GB2312" w:cs="Times New Roman"/>
          <w:color w:val="000000" w:themeColor="text1"/>
          <w:spacing w:val="3"/>
          <w:sz w:val="32"/>
          <w:szCs w:val="32"/>
          <w14:textFill>
            <w14:solidFill>
              <w14:schemeClr w14:val="tx1"/>
            </w14:solidFill>
          </w14:textFill>
        </w:rPr>
        <w:t>1</w:t>
      </w:r>
      <w:r>
        <w:rPr>
          <w:rFonts w:hint="eastAsia" w:ascii="仿宋_GB2312" w:hAnsi="仿宋" w:eastAsia="仿宋_GB2312" w:cs="仿宋"/>
          <w:color w:val="000000" w:themeColor="text1"/>
          <w:spacing w:val="3"/>
          <w:sz w:val="32"/>
          <w:szCs w:val="32"/>
          <w14:textFill>
            <w14:solidFill>
              <w14:schemeClr w14:val="tx1"/>
            </w14:solidFill>
          </w14:textFill>
        </w:rPr>
        <w:t>年或已满</w:t>
      </w:r>
      <w:r>
        <w:rPr>
          <w:rFonts w:ascii="Times New Roman" w:hAnsi="Times New Roman" w:eastAsia="仿宋_GB2312" w:cs="Times New Roman"/>
          <w:color w:val="000000" w:themeColor="text1"/>
          <w:spacing w:val="3"/>
          <w:sz w:val="32"/>
          <w:szCs w:val="32"/>
          <w14:textFill>
            <w14:solidFill>
              <w14:schemeClr w14:val="tx1"/>
            </w14:solidFill>
          </w14:textFill>
        </w:rPr>
        <w:t>1</w:t>
      </w:r>
      <w:r>
        <w:rPr>
          <w:rFonts w:hint="eastAsia" w:ascii="仿宋_GB2312" w:hAnsi="仿宋" w:eastAsia="仿宋_GB2312" w:cs="仿宋"/>
          <w:color w:val="000000" w:themeColor="text1"/>
          <w:spacing w:val="3"/>
          <w:sz w:val="32"/>
          <w:szCs w:val="32"/>
          <w14:textFill>
            <w14:solidFill>
              <w14:schemeClr w14:val="tx1"/>
            </w14:solidFill>
          </w14:textFill>
        </w:rPr>
        <w:t>年但未完全履行违约责任的;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（五）</w:t>
      </w:r>
      <w:r>
        <w:rPr>
          <w:rFonts w:hint="eastAsia" w:ascii="仿宋_GB2312" w:hAnsi="仿宋" w:eastAsia="仿宋_GB2312" w:cs="仿宋"/>
          <w:color w:val="000000" w:themeColor="text1"/>
          <w:spacing w:val="3"/>
          <w:sz w:val="32"/>
          <w:szCs w:val="32"/>
          <w14:textFill>
            <w14:solidFill>
              <w14:schemeClr w14:val="tx1"/>
            </w14:solidFill>
          </w14:textFill>
        </w:rPr>
        <w:t>法定代表人、企业负责人或实际控制人曾因严重违法违规导致原定点零售药店被解除医保协议，未满</w:t>
      </w:r>
      <w:r>
        <w:rPr>
          <w:rFonts w:ascii="Times New Roman" w:hAnsi="Times New Roman" w:eastAsia="仿宋_GB2312" w:cs="Times New Roman"/>
          <w:color w:val="000000" w:themeColor="text1"/>
          <w:spacing w:val="3"/>
          <w:sz w:val="32"/>
          <w:szCs w:val="32"/>
          <w14:textFill>
            <w14:solidFill>
              <w14:schemeClr w14:val="tx1"/>
            </w14:solidFill>
          </w14:textFill>
        </w:rPr>
        <w:t>5</w:t>
      </w:r>
      <w:r>
        <w:rPr>
          <w:rFonts w:hint="eastAsia" w:ascii="仿宋_GB2312" w:hAnsi="仿宋" w:eastAsia="仿宋_GB2312" w:cs="仿宋"/>
          <w:color w:val="000000" w:themeColor="text1"/>
          <w:spacing w:val="3"/>
          <w:sz w:val="32"/>
          <w:szCs w:val="32"/>
          <w14:textFill>
            <w14:solidFill>
              <w14:schemeClr w14:val="tx1"/>
            </w14:solidFill>
          </w14:textFill>
        </w:rPr>
        <w:t>年的;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（六）</w:t>
      </w:r>
      <w:r>
        <w:rPr>
          <w:rFonts w:hint="eastAsia" w:ascii="仿宋_GB2312" w:hAnsi="仿宋" w:eastAsia="仿宋_GB2312" w:cs="仿宋"/>
          <w:color w:val="000000" w:themeColor="text1"/>
          <w:spacing w:val="3"/>
          <w:sz w:val="32"/>
          <w:szCs w:val="32"/>
          <w14:textFill>
            <w14:solidFill>
              <w14:schemeClr w14:val="tx1"/>
            </w14:solidFill>
          </w14:textFill>
        </w:rPr>
        <w:t>法定代表人、企业负责人或实际控制人被列入失信人名单的;因医药服务行为受到有关行政部门处罚未满1年的；</w:t>
      </w:r>
    </w:p>
    <w:p>
      <w:pPr>
        <w:shd w:val="clear" w:color="auto" w:fill="FFFFFF"/>
        <w:overflowPunct w:val="0"/>
        <w:spacing w:line="600" w:lineRule="exact"/>
        <w:ind w:firstLine="640"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（七）</w:t>
      </w:r>
      <w:r>
        <w:rPr>
          <w:rFonts w:hint="eastAsia" w:ascii="仿宋_GB2312" w:hAnsi="仿宋" w:eastAsia="仿宋_GB2312" w:cs="仿宋"/>
          <w:color w:val="000000" w:themeColor="text1"/>
          <w:spacing w:val="3"/>
          <w:sz w:val="32"/>
          <w:szCs w:val="32"/>
          <w14:textFill>
            <w14:solidFill>
              <w14:schemeClr w14:val="tx1"/>
            </w14:solidFill>
          </w14:textFill>
        </w:rPr>
        <w:t>同一法人主体（投资主体）的相关定点医药机构，</w:t>
      </w:r>
      <w:r>
        <w:rPr>
          <w:rFonts w:ascii="Times New Roman" w:hAnsi="Times New Roman" w:eastAsia="仿宋_GB2312" w:cs="Times New Roman"/>
          <w:color w:val="000000" w:themeColor="text1"/>
          <w:spacing w:val="3"/>
          <w:sz w:val="32"/>
          <w:szCs w:val="32"/>
          <w14:textFill>
            <w14:solidFill>
              <w14:schemeClr w14:val="tx1"/>
            </w14:solidFill>
          </w14:textFill>
        </w:rPr>
        <w:t>1</w:t>
      </w:r>
      <w:r>
        <w:rPr>
          <w:rFonts w:hint="eastAsia" w:ascii="仿宋_GB2312" w:hAnsi="仿宋" w:eastAsia="仿宋_GB2312" w:cs="仿宋"/>
          <w:color w:val="000000" w:themeColor="text1"/>
          <w:spacing w:val="3"/>
          <w:sz w:val="32"/>
          <w:szCs w:val="32"/>
          <w14:textFill>
            <w14:solidFill>
              <w14:schemeClr w14:val="tx1"/>
            </w14:solidFill>
          </w14:textFill>
        </w:rPr>
        <w:t>年内有被暂停、解除或终止医保协议和正在接受各相关部门调查处理等情况的；</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（八）</w:t>
      </w:r>
      <w:r>
        <w:rPr>
          <w:rFonts w:hint="eastAsia" w:ascii="仿宋_GB2312" w:hAnsi="仿宋" w:eastAsia="仿宋_GB2312" w:cs="仿宋"/>
          <w:color w:val="000000" w:themeColor="text1"/>
          <w:spacing w:val="3"/>
          <w:sz w:val="32"/>
          <w:szCs w:val="32"/>
          <w14:textFill>
            <w14:solidFill>
              <w14:schemeClr w14:val="tx1"/>
            </w14:solidFill>
          </w14:textFill>
        </w:rPr>
        <w:t>法律法规规定的其他不予受理的情形。</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第八条 </w:t>
      </w:r>
      <w:r>
        <w:rPr>
          <w:rFonts w:hAnsi="仿宋_GB2312" w:eastAsia="仿宋_GB2312"/>
          <w:color w:val="000000" w:themeColor="text1"/>
          <w:kern w:val="0"/>
          <w:sz w:val="32"/>
          <w:szCs w:val="32"/>
          <w14:textFill>
            <w14:solidFill>
              <w14:schemeClr w14:val="tx1"/>
            </w14:solidFill>
          </w14:textFill>
        </w:rPr>
        <w:t>符合条件并愿意承担医保服务的医疗机构，可向所在辖区经办机构提出申请，并提供以下材料：</w:t>
      </w:r>
    </w:p>
    <w:p>
      <w:pPr>
        <w:shd w:val="clear" w:color="auto" w:fill="FFFFFF"/>
        <w:overflowPunct w:val="0"/>
        <w:spacing w:line="600" w:lineRule="exact"/>
        <w:ind w:firstLine="640" w:firstLineChars="200"/>
        <w:rPr>
          <w:rFonts w:eastAsia="仿宋_GB2312"/>
          <w:color w:val="000000" w:themeColor="text1"/>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（一）</w:t>
      </w:r>
      <w:r>
        <w:rPr>
          <w:rFonts w:hint="eastAsia" w:hAnsi="仿宋_GB2312" w:eastAsia="仿宋_GB2312"/>
          <w:color w:val="000000" w:themeColor="text1"/>
          <w:kern w:val="0"/>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台州市医疗保障定点医疗机构申请表</w:t>
      </w:r>
      <w:r>
        <w:rPr>
          <w:rFonts w:hint="eastAsia" w:hAnsi="仿宋_GB2312" w:eastAsia="仿宋_GB2312"/>
          <w:color w:val="000000" w:themeColor="text1"/>
          <w:kern w:val="0"/>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（附</w:t>
      </w:r>
      <w:r>
        <w:rPr>
          <w:rFonts w:hint="eastAsia" w:eastAsia="仿宋_GB2312"/>
          <w:color w:val="000000" w:themeColor="text1"/>
          <w:sz w:val="32"/>
          <w:szCs w:val="32"/>
          <w14:textFill>
            <w14:solidFill>
              <w14:schemeClr w14:val="tx1"/>
            </w14:solidFill>
          </w14:textFill>
        </w:rPr>
        <w:t>表</w:t>
      </w:r>
      <w:r>
        <w:rPr>
          <w:rFonts w:ascii="Times New Roman" w:hAnsi="Times New Roman" w:eastAsia="仿宋_GB2312" w:cs="Times New Roman"/>
          <w:color w:val="000000" w:themeColor="text1"/>
          <w:kern w:val="0"/>
          <w:sz w:val="32"/>
          <w:szCs w:val="32"/>
          <w14:textFill>
            <w14:solidFill>
              <w14:schemeClr w14:val="tx1"/>
            </w14:solidFill>
          </w14:textFill>
        </w:rPr>
        <w:t>1</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和《台州市医疗保障定点医疗机构评估表》（附表</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（二）医疗机构执业许可证或中医诊所备案证或军队医疗机构为民服务许可证照复印件；</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（三）与医保政策对应的内部管理制度和财务制度文本；</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（四）与医保有关的医疗机构信息系统相关材料；</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（五）纳入定点后使用医疗保障基金的预测性分析报告；</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（六）按相关规定要求提供的其他材料。</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第九条 </w:t>
      </w:r>
      <w:r>
        <w:rPr>
          <w:rFonts w:hAnsi="仿宋_GB2312" w:eastAsia="仿宋_GB2312"/>
          <w:color w:val="000000" w:themeColor="text1"/>
          <w:kern w:val="0"/>
          <w:sz w:val="32"/>
          <w:szCs w:val="32"/>
          <w14:textFill>
            <w14:solidFill>
              <w14:schemeClr w14:val="tx1"/>
            </w14:solidFill>
          </w14:textFill>
        </w:rPr>
        <w:t>符合条件并愿意承担医保服务的零售药店，可向所在辖区经办机构提出申请，并提供以下材料：</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（一）</w:t>
      </w:r>
      <w:r>
        <w:rPr>
          <w:rFonts w:hint="eastAsia" w:hAnsi="仿宋_GB2312" w:eastAsia="仿宋_GB2312"/>
          <w:color w:val="000000" w:themeColor="text1"/>
          <w:kern w:val="0"/>
          <w:sz w:val="32"/>
          <w:szCs w:val="32"/>
          <w14:textFill>
            <w14:solidFill>
              <w14:schemeClr w14:val="tx1"/>
            </w14:solidFill>
          </w14:textFill>
        </w:rPr>
        <w:t>《台州市医疗保障定点零售药店申请表》</w:t>
      </w:r>
      <w:r>
        <w:rPr>
          <w:rFonts w:hAnsi="仿宋_GB2312" w:eastAsia="仿宋_GB2312"/>
          <w:color w:val="000000" w:themeColor="text1"/>
          <w:kern w:val="0"/>
          <w:sz w:val="32"/>
          <w:szCs w:val="32"/>
          <w14:textFill>
            <w14:solidFill>
              <w14:schemeClr w14:val="tx1"/>
            </w14:solidFill>
          </w14:textFill>
        </w:rPr>
        <w:t>（附</w:t>
      </w:r>
      <w:r>
        <w:rPr>
          <w:rFonts w:hint="eastAsia" w:hAnsi="仿宋_GB2312" w:eastAsia="仿宋_GB2312"/>
          <w:color w:val="000000" w:themeColor="text1"/>
          <w:kern w:val="0"/>
          <w:sz w:val="32"/>
          <w:szCs w:val="32"/>
          <w14:textFill>
            <w14:solidFill>
              <w14:schemeClr w14:val="tx1"/>
            </w14:solidFill>
          </w14:textFill>
        </w:rPr>
        <w:t>表</w:t>
      </w: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Ansi="仿宋_GB2312" w:eastAsia="仿宋_GB2312"/>
          <w:color w:val="000000" w:themeColor="text1"/>
          <w:kern w:val="0"/>
          <w:sz w:val="32"/>
          <w:szCs w:val="32"/>
          <w14:textFill>
            <w14:solidFill>
              <w14:schemeClr w14:val="tx1"/>
            </w14:solidFill>
          </w14:textFill>
        </w:rPr>
        <w:t>）</w:t>
      </w:r>
      <w:r>
        <w:rPr>
          <w:rFonts w:hint="eastAsia" w:hAnsi="仿宋_GB2312" w:eastAsia="仿宋_GB2312"/>
          <w:color w:val="000000" w:themeColor="text1"/>
          <w:kern w:val="0"/>
          <w:sz w:val="32"/>
          <w:szCs w:val="32"/>
          <w14:textFill>
            <w14:solidFill>
              <w14:schemeClr w14:val="tx1"/>
            </w14:solidFill>
          </w14:textFill>
        </w:rPr>
        <w:t>和《台州市医疗保障定点零售药店评估表》（附表</w:t>
      </w:r>
      <w:r>
        <w:rPr>
          <w:rFonts w:ascii="Times New Roman" w:hAnsi="Times New Roman" w:eastAsia="仿宋_GB2312" w:cs="Times New Roman"/>
          <w:color w:val="000000" w:themeColor="text1"/>
          <w:kern w:val="0"/>
          <w:sz w:val="32"/>
          <w:szCs w:val="32"/>
          <w14:textFill>
            <w14:solidFill>
              <w14:schemeClr w14:val="tx1"/>
            </w14:solidFill>
          </w14:textFill>
        </w:rPr>
        <w:t>4</w:t>
      </w:r>
      <w:r>
        <w:rPr>
          <w:rFonts w:hint="eastAsia" w:hAnsi="仿宋_GB2312" w:eastAsia="仿宋_GB2312"/>
          <w:color w:val="000000" w:themeColor="text1"/>
          <w:kern w:val="0"/>
          <w:sz w:val="32"/>
          <w:szCs w:val="32"/>
          <w14:textFill>
            <w14:solidFill>
              <w14:schemeClr w14:val="tx1"/>
            </w14:solidFill>
          </w14:textFill>
        </w:rPr>
        <w:t>）</w:t>
      </w:r>
      <w:r>
        <w:rPr>
          <w:rFonts w:hAnsi="仿宋_GB2312" w:eastAsia="仿宋_GB2312"/>
          <w:color w:val="000000" w:themeColor="text1"/>
          <w:kern w:val="0"/>
          <w:sz w:val="32"/>
          <w:szCs w:val="32"/>
          <w14:textFill>
            <w14:solidFill>
              <w14:schemeClr w14:val="tx1"/>
            </w14:solidFill>
          </w14:textFill>
        </w:rPr>
        <w:t>；</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（二）药品经营许可证、营业执照和法定代表人、主要负责人或实际控制人身份证复印件；</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（三）</w:t>
      </w:r>
      <w:r>
        <w:rPr>
          <w:rFonts w:hAnsi="仿宋_GB2312" w:eastAsia="仿宋_GB2312"/>
          <w:color w:val="000000" w:themeColor="text1"/>
          <w:spacing w:val="2"/>
          <w:kern w:val="0"/>
          <w:sz w:val="32"/>
          <w:szCs w:val="32"/>
          <w14:textFill>
            <w14:solidFill>
              <w14:schemeClr w14:val="tx1"/>
            </w14:solidFill>
          </w14:textFill>
        </w:rPr>
        <w:t>执业药师资格证书或药学技术人员相关证书及其劳动</w:t>
      </w:r>
      <w:r>
        <w:rPr>
          <w:rFonts w:hAnsi="仿宋_GB2312" w:eastAsia="仿宋_GB2312"/>
          <w:color w:val="000000" w:themeColor="text1"/>
          <w:kern w:val="0"/>
          <w:sz w:val="32"/>
          <w:szCs w:val="32"/>
          <w14:textFill>
            <w14:solidFill>
              <w14:schemeClr w14:val="tx1"/>
            </w14:solidFill>
          </w14:textFill>
        </w:rPr>
        <w:t>合同复印件；</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（四）医保专（兼）职管理人员的劳动合同复印件；</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（五）</w:t>
      </w:r>
      <w:r>
        <w:rPr>
          <w:rFonts w:hAnsi="仿宋_GB2312" w:eastAsia="仿宋_GB2312"/>
          <w:color w:val="000000" w:themeColor="text1"/>
          <w:spacing w:val="-6"/>
          <w:kern w:val="0"/>
          <w:sz w:val="32"/>
          <w:szCs w:val="32"/>
          <w14:textFill>
            <w14:solidFill>
              <w14:schemeClr w14:val="tx1"/>
            </w14:solidFill>
          </w14:textFill>
        </w:rPr>
        <w:t>与医疗保障政策对应的内部管理制度和财务制度文本；</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（六）与医保有关的信息系统相关材料；</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（七）纳入定点后使用医疗保障基金的预测性分析报告；</w:t>
      </w:r>
    </w:p>
    <w:p>
      <w:pPr>
        <w:shd w:val="clear" w:color="auto" w:fill="FFFFFF"/>
        <w:overflowPunct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（八）按相关规定要求提供的其他材料。</w:t>
      </w:r>
    </w:p>
    <w:p>
      <w:pPr>
        <w:shd w:val="clear" w:color="auto" w:fill="FFFFFF"/>
        <w:overflowPunct w:val="0"/>
        <w:spacing w:line="600" w:lineRule="exact"/>
        <w:jc w:val="center"/>
        <w:rPr>
          <w:rFonts w:ascii="黑体" w:hAnsi="黑体" w:eastAsia="黑体" w:cs="黑体"/>
          <w:color w:val="000000" w:themeColor="text1"/>
          <w:sz w:val="36"/>
          <w:szCs w:val="36"/>
          <w14:textFill>
            <w14:solidFill>
              <w14:schemeClr w14:val="tx1"/>
            </w14:solidFill>
          </w14:textFill>
        </w:rPr>
      </w:pPr>
    </w:p>
    <w:p>
      <w:pPr>
        <w:shd w:val="clear" w:color="auto" w:fill="FFFFFF"/>
        <w:overflowPunct w:val="0"/>
        <w:spacing w:line="600" w:lineRule="exact"/>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第三章 材料审核</w:t>
      </w:r>
    </w:p>
    <w:p>
      <w:pPr>
        <w:shd w:val="clear" w:color="auto" w:fill="FFFFFF"/>
        <w:overflowPunct w:val="0"/>
        <w:spacing w:line="600" w:lineRule="exact"/>
        <w:jc w:val="center"/>
        <w:rPr>
          <w:rFonts w:ascii="黑体" w:hAnsi="黑体" w:eastAsia="黑体" w:cs="黑体"/>
          <w:color w:val="000000" w:themeColor="text1"/>
          <w:sz w:val="36"/>
          <w:szCs w:val="36"/>
          <w14:textFill>
            <w14:solidFill>
              <w14:schemeClr w14:val="tx1"/>
            </w14:solidFill>
          </w14:textFill>
        </w:rPr>
      </w:pP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kern w:val="0"/>
          <w:sz w:val="32"/>
          <w:szCs w:val="32"/>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条</w:t>
      </w:r>
      <w:r>
        <w:rPr>
          <w:rFonts w:hint="eastAsia" w:hAnsi="仿宋_GB2312" w:eastAsia="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olor w:val="000000" w:themeColor="text1"/>
          <w:kern w:val="0"/>
          <w:sz w:val="32"/>
          <w:szCs w:val="32"/>
          <w14:textFill>
            <w14:solidFill>
              <w14:schemeClr w14:val="tx1"/>
            </w14:solidFill>
          </w14:textFill>
        </w:rPr>
        <w:t>集中受理期结束后，各级经办机构应组织核查人员，于</w:t>
      </w:r>
      <w:r>
        <w:rPr>
          <w:rFonts w:ascii="Times New Roman" w:hAnsi="Times New Roman" w:eastAsia="仿宋_GB2312" w:cs="Times New Roman"/>
          <w:color w:val="000000" w:themeColor="text1"/>
          <w:kern w:val="0"/>
          <w:sz w:val="32"/>
          <w:szCs w:val="32"/>
          <w14:textFill>
            <w14:solidFill>
              <w14:schemeClr w14:val="tx1"/>
            </w14:solidFill>
          </w14:textFill>
        </w:rPr>
        <w:t>10</w:t>
      </w:r>
      <w:r>
        <w:rPr>
          <w:rFonts w:hint="eastAsia" w:ascii="仿宋_GB2312" w:hAnsi="仿宋_GB2312" w:eastAsia="仿宋_GB2312"/>
          <w:color w:val="000000" w:themeColor="text1"/>
          <w:kern w:val="0"/>
          <w:sz w:val="32"/>
          <w:szCs w:val="32"/>
          <w14:textFill>
            <w14:solidFill>
              <w14:schemeClr w14:val="tx1"/>
            </w14:solidFill>
          </w14:textFill>
        </w:rPr>
        <w:t>个工作日内完成资料审核、现场核查和函询相关主管部门等工作。</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第十一条</w:t>
      </w:r>
      <w:r>
        <w:rPr>
          <w:rFonts w:hint="eastAsia" w:hAnsi="仿宋_GB2312" w:eastAsia="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olor w:val="000000" w:themeColor="text1"/>
          <w:kern w:val="0"/>
          <w:sz w:val="32"/>
          <w:szCs w:val="32"/>
          <w14:textFill>
            <w14:solidFill>
              <w14:schemeClr w14:val="tx1"/>
            </w14:solidFill>
          </w14:textFill>
        </w:rPr>
        <w:t>经办机构组织卫健、市监等相关部门依据申报资料和评估项目指标对医药机构进行现场核查，现场核查应实行回避制度。</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第十二条</w:t>
      </w:r>
      <w:r>
        <w:rPr>
          <w:rFonts w:hint="eastAsia" w:hAnsi="仿宋_GB2312" w:eastAsia="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olor w:val="000000" w:themeColor="text1"/>
          <w:kern w:val="0"/>
          <w:sz w:val="32"/>
          <w:szCs w:val="32"/>
          <w14:textFill>
            <w14:solidFill>
              <w14:schemeClr w14:val="tx1"/>
            </w14:solidFill>
          </w14:textFill>
        </w:rPr>
        <w:t>经审核联查，申请单位存在以下情形之一的，应退出本次定点申请：</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w:t>
      </w:r>
      <w:r>
        <w:rPr>
          <w:rFonts w:hint="eastAsia" w:hAnsi="仿宋_GB2312" w:eastAsia="仿宋_GB2312"/>
          <w:color w:val="000000" w:themeColor="text1"/>
          <w:kern w:val="0"/>
          <w:sz w:val="32"/>
          <w:szCs w:val="32"/>
          <w14:textFill>
            <w14:solidFill>
              <w14:schemeClr w14:val="tx1"/>
            </w14:solidFill>
          </w14:textFill>
        </w:rPr>
        <w:t>一</w:t>
      </w:r>
      <w:r>
        <w:rPr>
          <w:rFonts w:hAnsi="仿宋_GB2312" w:eastAsia="仿宋_GB2312"/>
          <w:color w:val="000000" w:themeColor="text1"/>
          <w:kern w:val="0"/>
          <w:sz w:val="32"/>
          <w:szCs w:val="32"/>
          <w14:textFill>
            <w14:solidFill>
              <w14:schemeClr w14:val="tx1"/>
            </w14:solidFill>
          </w14:textFill>
        </w:rPr>
        <w:t>）</w:t>
      </w:r>
      <w:r>
        <w:rPr>
          <w:rFonts w:hint="eastAsia" w:ascii="仿宋_GB2312" w:hAnsi="仿宋_GB2312" w:eastAsia="仿宋_GB2312"/>
          <w:color w:val="000000" w:themeColor="text1"/>
          <w:kern w:val="0"/>
          <w:sz w:val="32"/>
          <w:szCs w:val="32"/>
          <w14:textFill>
            <w14:solidFill>
              <w14:schemeClr w14:val="tx1"/>
            </w14:solidFill>
          </w14:textFill>
        </w:rPr>
        <w:t>存在本实施细则不予受理定点申请情形之一的；</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w:t>
      </w:r>
      <w:r>
        <w:rPr>
          <w:rFonts w:hint="eastAsia" w:hAnsi="仿宋_GB2312" w:eastAsia="仿宋_GB2312"/>
          <w:color w:val="000000" w:themeColor="text1"/>
          <w:kern w:val="0"/>
          <w:sz w:val="32"/>
          <w:szCs w:val="32"/>
          <w14:textFill>
            <w14:solidFill>
              <w14:schemeClr w14:val="tx1"/>
            </w14:solidFill>
          </w14:textFill>
        </w:rPr>
        <w:t>二</w:t>
      </w:r>
      <w:r>
        <w:rPr>
          <w:rFonts w:hAnsi="仿宋_GB2312" w:eastAsia="仿宋_GB2312"/>
          <w:color w:val="000000" w:themeColor="text1"/>
          <w:kern w:val="0"/>
          <w:sz w:val="32"/>
          <w:szCs w:val="32"/>
          <w14:textFill>
            <w14:solidFill>
              <w14:schemeClr w14:val="tx1"/>
            </w14:solidFill>
          </w14:textFill>
        </w:rPr>
        <w:t>）</w:t>
      </w:r>
      <w:r>
        <w:rPr>
          <w:rFonts w:hint="eastAsia" w:ascii="仿宋_GB2312" w:hAnsi="仿宋_GB2312" w:eastAsia="仿宋_GB2312"/>
          <w:color w:val="000000" w:themeColor="text1"/>
          <w:kern w:val="0"/>
          <w:sz w:val="32"/>
          <w:szCs w:val="32"/>
          <w14:textFill>
            <w14:solidFill>
              <w14:schemeClr w14:val="tx1"/>
            </w14:solidFill>
          </w14:textFill>
        </w:rPr>
        <w:t>存在《台州市医疗保障定点医疗机构评估表》、《台州市医疗保障定点零售药店评估表》基础指标有不合格项的；</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（三）《台州市医疗保障定点医疗机构评估表》、《台州市医疗保障定点零售药店评估表》现场评估指标合计得分在80分以下的；</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Ansi="仿宋_GB2312" w:eastAsia="仿宋_GB2312"/>
          <w:color w:val="000000" w:themeColor="text1"/>
          <w:kern w:val="0"/>
          <w:sz w:val="32"/>
          <w:szCs w:val="32"/>
          <w14:textFill>
            <w14:solidFill>
              <w14:schemeClr w14:val="tx1"/>
            </w14:solidFill>
          </w14:textFill>
        </w:rPr>
        <w:t>（</w:t>
      </w:r>
      <w:r>
        <w:rPr>
          <w:rFonts w:hint="eastAsia" w:hAnsi="仿宋_GB2312" w:eastAsia="仿宋_GB2312"/>
          <w:color w:val="000000" w:themeColor="text1"/>
          <w:kern w:val="0"/>
          <w:sz w:val="32"/>
          <w:szCs w:val="32"/>
          <w14:textFill>
            <w14:solidFill>
              <w14:schemeClr w14:val="tx1"/>
            </w14:solidFill>
          </w14:textFill>
        </w:rPr>
        <w:t>四</w:t>
      </w:r>
      <w:r>
        <w:rPr>
          <w:rFonts w:hAnsi="仿宋_GB2312" w:eastAsia="仿宋_GB2312"/>
          <w:color w:val="000000" w:themeColor="text1"/>
          <w:kern w:val="0"/>
          <w:sz w:val="32"/>
          <w:szCs w:val="32"/>
          <w14:textFill>
            <w14:solidFill>
              <w14:schemeClr w14:val="tx1"/>
            </w14:solidFill>
          </w14:textFill>
        </w:rPr>
        <w:t>）</w:t>
      </w:r>
      <w:r>
        <w:rPr>
          <w:rFonts w:hint="eastAsia" w:ascii="仿宋_GB2312" w:hAnsi="仿宋_GB2312" w:eastAsia="仿宋_GB2312"/>
          <w:color w:val="000000" w:themeColor="text1"/>
          <w:kern w:val="0"/>
          <w:sz w:val="32"/>
          <w:szCs w:val="32"/>
          <w14:textFill>
            <w14:solidFill>
              <w14:schemeClr w14:val="tx1"/>
            </w14:solidFill>
          </w14:textFill>
        </w:rPr>
        <w:t>弄虚作假，提供不真实材料的。</w:t>
      </w:r>
    </w:p>
    <w:p>
      <w:pPr>
        <w:shd w:val="clear" w:color="auto" w:fill="FFFFFF"/>
        <w:overflowPunct w:val="0"/>
        <w:spacing w:line="600" w:lineRule="exact"/>
        <w:jc w:val="center"/>
        <w:rPr>
          <w:rFonts w:ascii="黑体" w:hAnsi="黑体" w:eastAsia="黑体" w:cs="黑体"/>
          <w:color w:val="000000" w:themeColor="text1"/>
          <w:kern w:val="0"/>
          <w:sz w:val="36"/>
          <w:szCs w:val="36"/>
          <w14:textFill>
            <w14:solidFill>
              <w14:schemeClr w14:val="tx1"/>
            </w14:solidFill>
          </w14:textFill>
        </w:rPr>
      </w:pPr>
    </w:p>
    <w:p>
      <w:pPr>
        <w:shd w:val="clear" w:color="auto" w:fill="FFFFFF"/>
        <w:overflowPunct w:val="0"/>
        <w:spacing w:line="600" w:lineRule="exact"/>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第四章 组织评估</w:t>
      </w:r>
    </w:p>
    <w:p>
      <w:pPr>
        <w:shd w:val="clear" w:color="auto" w:fill="FFFFFF"/>
        <w:overflowPunct w:val="0"/>
        <w:spacing w:line="600" w:lineRule="exact"/>
        <w:rPr>
          <w:rFonts w:ascii="黑体" w:hAnsi="黑体" w:eastAsia="黑体" w:cs="黑体"/>
          <w:color w:val="000000" w:themeColor="text1"/>
          <w:kern w:val="0"/>
          <w:sz w:val="36"/>
          <w:szCs w:val="36"/>
          <w14:textFill>
            <w14:solidFill>
              <w14:schemeClr w14:val="tx1"/>
            </w14:solidFill>
          </w14:textFill>
        </w:rPr>
      </w:pP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第十三条</w:t>
      </w:r>
      <w:r>
        <w:rPr>
          <w:rFonts w:hint="eastAsia" w:hAnsi="仿宋_GB2312" w:eastAsia="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olor w:val="000000" w:themeColor="text1"/>
          <w:kern w:val="0"/>
          <w:sz w:val="32"/>
          <w:szCs w:val="32"/>
          <w14:textFill>
            <w14:solidFill>
              <w14:schemeClr w14:val="tx1"/>
            </w14:solidFill>
          </w14:textFill>
        </w:rPr>
        <w:t>各医保经办机构于</w:t>
      </w:r>
      <w:r>
        <w:rPr>
          <w:rFonts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仿宋_GB2312" w:hAnsi="仿宋_GB2312" w:eastAsia="仿宋_GB2312"/>
          <w:color w:val="000000" w:themeColor="text1"/>
          <w:kern w:val="0"/>
          <w:sz w:val="32"/>
          <w:szCs w:val="32"/>
          <w14:textFill>
            <w14:solidFill>
              <w14:schemeClr w14:val="tx1"/>
            </w14:solidFill>
          </w14:textFill>
        </w:rPr>
        <w:t>个工作日内完成各自辖区新增定点评估工作。</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第十四条</w:t>
      </w:r>
      <w:r>
        <w:rPr>
          <w:rFonts w:hint="eastAsia" w:hAnsi="仿宋_GB2312" w:eastAsia="仿宋_GB2312"/>
          <w:color w:val="000000" w:themeColor="text1"/>
          <w:kern w:val="0"/>
          <w:sz w:val="32"/>
          <w:szCs w:val="32"/>
          <w14:textFill>
            <w14:solidFill>
              <w14:schemeClr w14:val="tx1"/>
            </w14:solidFill>
          </w14:textFill>
        </w:rPr>
        <w:t xml:space="preserve"> 市级医疗保障行政部门</w:t>
      </w:r>
      <w:r>
        <w:rPr>
          <w:rFonts w:hAnsi="仿宋_GB2312" w:eastAsia="仿宋_GB2312"/>
          <w:color w:val="000000" w:themeColor="text1"/>
          <w:kern w:val="0"/>
          <w:sz w:val="32"/>
          <w:szCs w:val="32"/>
          <w14:textFill>
            <w14:solidFill>
              <w14:schemeClr w14:val="tx1"/>
            </w14:solidFill>
          </w14:textFill>
        </w:rPr>
        <w:t>根据实际情况建立专家库。专家库成员可由医疗保障、医药卫生、财务管理、信息技术等专业人员，以及经办机构、相关行业协会代表组成。</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第十五条</w:t>
      </w:r>
      <w:r>
        <w:rPr>
          <w:rFonts w:hint="eastAsia" w:hAnsi="仿宋_GB2312" w:eastAsia="仿宋_GB2312"/>
          <w:color w:val="000000" w:themeColor="text1"/>
          <w:kern w:val="0"/>
          <w:sz w:val="32"/>
          <w:szCs w:val="32"/>
          <w14:textFill>
            <w14:solidFill>
              <w14:schemeClr w14:val="tx1"/>
            </w14:solidFill>
          </w14:textFill>
        </w:rPr>
        <w:t xml:space="preserve"> 县级</w:t>
      </w:r>
      <w:r>
        <w:rPr>
          <w:rFonts w:hint="eastAsia" w:ascii="仿宋_GB2312" w:hAnsi="仿宋_GB2312" w:eastAsia="仿宋_GB2312"/>
          <w:color w:val="000000" w:themeColor="text1"/>
          <w:kern w:val="0"/>
          <w:sz w:val="32"/>
          <w:szCs w:val="32"/>
          <w14:textFill>
            <w14:solidFill>
              <w14:schemeClr w14:val="tx1"/>
            </w14:solidFill>
          </w14:textFill>
        </w:rPr>
        <w:t>经办机构从专家库中分类别随机抽取9-13名专家组成评估小组，组长由县级医保局分管负责人或</w:t>
      </w:r>
      <w:r>
        <w:rPr>
          <w:rFonts w:ascii="仿宋_GB2312" w:hAnsi="仿宋_GB2312" w:eastAsia="仿宋_GB2312"/>
          <w:color w:val="000000" w:themeColor="text1"/>
          <w:kern w:val="0"/>
          <w:sz w:val="32"/>
          <w:szCs w:val="32"/>
          <w14:textFill>
            <w14:solidFill>
              <w14:schemeClr w14:val="tx1"/>
            </w14:solidFill>
          </w14:textFill>
        </w:rPr>
        <w:t>科室（</w:t>
      </w:r>
      <w:r>
        <w:rPr>
          <w:rFonts w:hint="eastAsia" w:ascii="仿宋_GB2312" w:hAnsi="仿宋_GB2312" w:eastAsia="仿宋_GB2312"/>
          <w:color w:val="000000" w:themeColor="text1"/>
          <w:kern w:val="0"/>
          <w:sz w:val="32"/>
          <w:szCs w:val="32"/>
          <w14:textFill>
            <w14:solidFill>
              <w14:schemeClr w14:val="tx1"/>
            </w14:solidFill>
          </w14:textFill>
        </w:rPr>
        <w:t>中心</w:t>
      </w:r>
      <w:r>
        <w:rPr>
          <w:rFonts w:ascii="仿宋_GB2312" w:hAnsi="仿宋_GB2312" w:eastAsia="仿宋_GB2312"/>
          <w:color w:val="000000" w:themeColor="text1"/>
          <w:kern w:val="0"/>
          <w:sz w:val="32"/>
          <w:szCs w:val="32"/>
          <w14:textFill>
            <w14:solidFill>
              <w14:schemeClr w14:val="tx1"/>
            </w14:solidFill>
          </w14:textFill>
        </w:rPr>
        <w:t>）</w:t>
      </w:r>
      <w:r>
        <w:rPr>
          <w:rFonts w:hint="eastAsia" w:ascii="仿宋_GB2312" w:hAnsi="仿宋_GB2312" w:eastAsia="仿宋_GB2312"/>
          <w:color w:val="000000" w:themeColor="text1"/>
          <w:kern w:val="0"/>
          <w:sz w:val="32"/>
          <w:szCs w:val="32"/>
          <w14:textFill>
            <w14:solidFill>
              <w14:schemeClr w14:val="tx1"/>
            </w14:solidFill>
          </w14:textFill>
        </w:rPr>
        <w:t>负责人担任。</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第十六条</w:t>
      </w:r>
      <w:r>
        <w:rPr>
          <w:rFonts w:hint="eastAsia" w:hAnsi="仿宋_GB2312" w:eastAsia="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olor w:val="000000" w:themeColor="text1"/>
          <w:kern w:val="0"/>
          <w:sz w:val="32"/>
          <w:szCs w:val="32"/>
          <w14:textFill>
            <w14:solidFill>
              <w14:schemeClr w14:val="tx1"/>
            </w14:solidFill>
          </w14:textFill>
        </w:rPr>
        <w:t>评估小组按照核查结果、经办机构汇报情况等进行综合评估，根据新增额度，由高分至低分确定通过与不通过（现场评估只作为准入门槛，不作为此次评估打分依据）。评估通过的，纳入拟新增医保定点的医药机构名单；评估不通过的，由经办机构进行通知。</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第十七条 </w:t>
      </w:r>
      <w:r>
        <w:rPr>
          <w:rFonts w:hint="eastAsia" w:hAnsi="仿宋_GB2312" w:eastAsia="仿宋_GB2312"/>
          <w:color w:val="000000" w:themeColor="text1"/>
          <w:kern w:val="0"/>
          <w:sz w:val="32"/>
          <w:szCs w:val="32"/>
          <w14:textFill>
            <w14:solidFill>
              <w14:schemeClr w14:val="tx1"/>
            </w14:solidFill>
          </w14:textFill>
        </w:rPr>
        <w:t>定点医药机构评估工作主动接受医疗保障行政部门、纪检监察机构监督。</w:t>
      </w:r>
    </w:p>
    <w:p>
      <w:pPr>
        <w:shd w:val="clear" w:color="auto" w:fill="FFFFFF"/>
        <w:overflowPunct w:val="0"/>
        <w:spacing w:line="600" w:lineRule="exact"/>
        <w:jc w:val="center"/>
        <w:rPr>
          <w:rFonts w:ascii="黑体" w:hAnsi="黑体" w:eastAsia="黑体" w:cs="黑体"/>
          <w:color w:val="000000" w:themeColor="text1"/>
          <w:kern w:val="0"/>
          <w:sz w:val="32"/>
          <w:szCs w:val="32"/>
          <w14:textFill>
            <w14:solidFill>
              <w14:schemeClr w14:val="tx1"/>
            </w14:solidFill>
          </w14:textFill>
        </w:rPr>
      </w:pPr>
    </w:p>
    <w:p>
      <w:pPr>
        <w:numPr>
          <w:ilvl w:val="0"/>
          <w:numId w:val="2"/>
        </w:numPr>
        <w:shd w:val="clear" w:color="auto" w:fill="FFFFFF"/>
        <w:overflowPunct w:val="0"/>
        <w:spacing w:line="600" w:lineRule="exact"/>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结果公示</w:t>
      </w:r>
    </w:p>
    <w:p>
      <w:pPr>
        <w:shd w:val="clear" w:color="auto" w:fill="FFFFFF"/>
        <w:overflowPunct w:val="0"/>
        <w:spacing w:line="600" w:lineRule="exact"/>
        <w:rPr>
          <w:rFonts w:ascii="黑体" w:hAnsi="黑体" w:eastAsia="黑体" w:cs="黑体"/>
          <w:color w:val="000000" w:themeColor="text1"/>
          <w:kern w:val="0"/>
          <w:sz w:val="32"/>
          <w:szCs w:val="32"/>
          <w14:textFill>
            <w14:solidFill>
              <w14:schemeClr w14:val="tx1"/>
            </w14:solidFill>
          </w14:textFill>
        </w:rPr>
      </w:pP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第十八条</w:t>
      </w:r>
      <w:r>
        <w:rPr>
          <w:rFonts w:hint="eastAsia" w:hAnsi="仿宋_GB2312" w:eastAsia="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olor w:val="000000" w:themeColor="text1"/>
          <w:kern w:val="0"/>
          <w:sz w:val="32"/>
          <w:szCs w:val="32"/>
          <w14:textFill>
            <w14:solidFill>
              <w14:schemeClr w14:val="tx1"/>
            </w14:solidFill>
          </w14:textFill>
        </w:rPr>
        <w:t>经办机构根据评估结果向社会公示拟定纳入定点协议管理的医药机构名单，公示时间为</w:t>
      </w:r>
      <w:r>
        <w:rPr>
          <w:rFonts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仿宋_GB2312" w:hAnsi="仿宋_GB2312" w:eastAsia="仿宋_GB2312"/>
          <w:color w:val="000000" w:themeColor="text1"/>
          <w:kern w:val="0"/>
          <w:sz w:val="32"/>
          <w:szCs w:val="32"/>
          <w14:textFill>
            <w14:solidFill>
              <w14:schemeClr w14:val="tx1"/>
            </w14:solidFill>
          </w14:textFill>
        </w:rPr>
        <w:t>个工作日。</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第十九条 </w:t>
      </w:r>
      <w:r>
        <w:rPr>
          <w:rFonts w:hAnsi="仿宋_GB2312" w:eastAsia="仿宋_GB2312"/>
          <w:color w:val="000000" w:themeColor="text1"/>
          <w:kern w:val="0"/>
          <w:sz w:val="32"/>
          <w:szCs w:val="32"/>
          <w14:textFill>
            <w14:solidFill>
              <w14:schemeClr w14:val="tx1"/>
            </w14:solidFill>
          </w14:textFill>
        </w:rPr>
        <w:t>公示期满无</w:t>
      </w:r>
      <w:r>
        <w:rPr>
          <w:rFonts w:hint="eastAsia" w:hAnsi="仿宋_GB2312" w:eastAsia="仿宋_GB2312"/>
          <w:color w:val="000000" w:themeColor="text1"/>
          <w:kern w:val="0"/>
          <w:sz w:val="32"/>
          <w:szCs w:val="32"/>
          <w14:textFill>
            <w14:solidFill>
              <w14:schemeClr w14:val="tx1"/>
            </w14:solidFill>
          </w14:textFill>
        </w:rPr>
        <w:t>异议</w:t>
      </w:r>
      <w:r>
        <w:rPr>
          <w:rFonts w:hAnsi="仿宋_GB2312" w:eastAsia="仿宋_GB2312"/>
          <w:color w:val="000000" w:themeColor="text1"/>
          <w:kern w:val="0"/>
          <w:sz w:val="32"/>
          <w:szCs w:val="32"/>
          <w14:textFill>
            <w14:solidFill>
              <w14:schemeClr w14:val="tx1"/>
            </w14:solidFill>
          </w14:textFill>
        </w:rPr>
        <w:t>的，列入拟签订医保协议的名单；公示</w:t>
      </w:r>
      <w:r>
        <w:rPr>
          <w:rFonts w:hint="eastAsia" w:hAnsi="仿宋_GB2312" w:eastAsia="仿宋_GB2312"/>
          <w:color w:val="000000" w:themeColor="text1"/>
          <w:kern w:val="0"/>
          <w:sz w:val="32"/>
          <w:szCs w:val="32"/>
          <w14:textFill>
            <w14:solidFill>
              <w14:schemeClr w14:val="tx1"/>
            </w14:solidFill>
          </w14:textFill>
        </w:rPr>
        <w:t>期间</w:t>
      </w:r>
      <w:r>
        <w:rPr>
          <w:rFonts w:hAnsi="仿宋_GB2312" w:eastAsia="仿宋_GB2312"/>
          <w:color w:val="000000" w:themeColor="text1"/>
          <w:kern w:val="0"/>
          <w:sz w:val="32"/>
          <w:szCs w:val="32"/>
          <w14:textFill>
            <w14:solidFill>
              <w14:schemeClr w14:val="tx1"/>
            </w14:solidFill>
          </w14:textFill>
        </w:rPr>
        <w:t>有异议的，</w:t>
      </w:r>
      <w:r>
        <w:rPr>
          <w:rFonts w:hint="eastAsia" w:hAnsi="仿宋_GB2312" w:eastAsia="仿宋_GB2312"/>
          <w:color w:val="000000" w:themeColor="text1"/>
          <w:kern w:val="0"/>
          <w:sz w:val="32"/>
          <w:szCs w:val="32"/>
          <w14:textFill>
            <w14:solidFill>
              <w14:schemeClr w14:val="tx1"/>
            </w14:solidFill>
          </w14:textFill>
        </w:rPr>
        <w:t>由</w:t>
      </w:r>
      <w:r>
        <w:rPr>
          <w:rFonts w:hAnsi="仿宋_GB2312" w:eastAsia="仿宋_GB2312"/>
          <w:color w:val="000000" w:themeColor="text1"/>
          <w:kern w:val="0"/>
          <w:sz w:val="32"/>
          <w:szCs w:val="32"/>
          <w14:textFill>
            <w14:solidFill>
              <w14:schemeClr w14:val="tx1"/>
            </w14:solidFill>
          </w14:textFill>
        </w:rPr>
        <w:t>该</w:t>
      </w:r>
      <w:r>
        <w:rPr>
          <w:rFonts w:hint="eastAsia" w:hAnsi="仿宋_GB2312" w:eastAsia="仿宋_GB2312"/>
          <w:color w:val="000000" w:themeColor="text1"/>
          <w:kern w:val="0"/>
          <w:sz w:val="32"/>
          <w:szCs w:val="32"/>
          <w14:textFill>
            <w14:solidFill>
              <w14:schemeClr w14:val="tx1"/>
            </w14:solidFill>
          </w14:textFill>
        </w:rPr>
        <w:t>医药</w:t>
      </w:r>
      <w:r>
        <w:rPr>
          <w:rFonts w:hAnsi="仿宋_GB2312" w:eastAsia="仿宋_GB2312"/>
          <w:color w:val="000000" w:themeColor="text1"/>
          <w:kern w:val="0"/>
          <w:sz w:val="32"/>
          <w:szCs w:val="32"/>
          <w14:textFill>
            <w14:solidFill>
              <w14:schemeClr w14:val="tx1"/>
            </w14:solidFill>
          </w14:textFill>
        </w:rPr>
        <w:t>机构</w:t>
      </w:r>
      <w:r>
        <w:rPr>
          <w:rFonts w:hint="eastAsia" w:hAnsi="仿宋_GB2312" w:eastAsia="仿宋_GB2312"/>
          <w:color w:val="000000" w:themeColor="text1"/>
          <w:kern w:val="0"/>
          <w:sz w:val="32"/>
          <w:szCs w:val="32"/>
          <w14:textFill>
            <w14:solidFill>
              <w14:schemeClr w14:val="tx1"/>
            </w14:solidFill>
          </w14:textFill>
        </w:rPr>
        <w:t>辖区医保部门</w:t>
      </w:r>
      <w:r>
        <w:rPr>
          <w:rFonts w:hAnsi="仿宋_GB2312" w:eastAsia="仿宋_GB2312"/>
          <w:color w:val="000000" w:themeColor="text1"/>
          <w:kern w:val="0"/>
          <w:sz w:val="32"/>
          <w:szCs w:val="32"/>
          <w14:textFill>
            <w14:solidFill>
              <w14:schemeClr w14:val="tx1"/>
            </w14:solidFill>
          </w14:textFill>
        </w:rPr>
        <w:t>及时启动调查程序，核实情况</w:t>
      </w:r>
      <w:r>
        <w:rPr>
          <w:rFonts w:hint="eastAsia" w:hAnsi="仿宋_GB2312" w:eastAsia="仿宋_GB2312"/>
          <w:color w:val="000000" w:themeColor="text1"/>
          <w:kern w:val="0"/>
          <w:sz w:val="32"/>
          <w:szCs w:val="32"/>
          <w14:textFill>
            <w14:solidFill>
              <w14:schemeClr w14:val="tx1"/>
            </w14:solidFill>
          </w14:textFill>
        </w:rPr>
        <w:t>。</w:t>
      </w:r>
    </w:p>
    <w:p>
      <w:pPr>
        <w:shd w:val="clear" w:color="auto" w:fill="FFFFFF"/>
        <w:overflowPunct w:val="0"/>
        <w:spacing w:line="600" w:lineRule="exact"/>
        <w:jc w:val="center"/>
        <w:rPr>
          <w:rFonts w:ascii="黑体" w:hAnsi="黑体" w:eastAsia="黑体" w:cs="黑体"/>
          <w:color w:val="000000" w:themeColor="text1"/>
          <w:kern w:val="0"/>
          <w:sz w:val="32"/>
          <w:szCs w:val="32"/>
          <w14:textFill>
            <w14:solidFill>
              <w14:schemeClr w14:val="tx1"/>
            </w14:solidFill>
          </w14:textFill>
        </w:rPr>
      </w:pPr>
    </w:p>
    <w:p>
      <w:pPr>
        <w:numPr>
          <w:ilvl w:val="0"/>
          <w:numId w:val="3"/>
        </w:numPr>
        <w:shd w:val="clear" w:color="auto" w:fill="FFFFFF"/>
        <w:overflowPunct w:val="0"/>
        <w:spacing w:line="600" w:lineRule="exact"/>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签约准备</w:t>
      </w:r>
    </w:p>
    <w:p>
      <w:pPr>
        <w:shd w:val="clear" w:color="auto" w:fill="FFFFFF"/>
        <w:overflowPunct w:val="0"/>
        <w:spacing w:line="600" w:lineRule="exact"/>
        <w:rPr>
          <w:rFonts w:ascii="黑体" w:hAnsi="黑体" w:eastAsia="黑体" w:cs="黑体"/>
          <w:color w:val="000000" w:themeColor="text1"/>
          <w:kern w:val="0"/>
          <w:sz w:val="32"/>
          <w:szCs w:val="32"/>
          <w14:textFill>
            <w14:solidFill>
              <w14:schemeClr w14:val="tx1"/>
            </w14:solidFill>
          </w14:textFill>
        </w:rPr>
      </w:pP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第二十条 </w:t>
      </w:r>
      <w:r>
        <w:rPr>
          <w:rFonts w:hint="eastAsia" w:ascii="仿宋_GB2312" w:hAnsi="仿宋_GB2312" w:eastAsia="仿宋_GB2312"/>
          <w:color w:val="000000" w:themeColor="text1"/>
          <w:kern w:val="0"/>
          <w:sz w:val="32"/>
          <w:szCs w:val="32"/>
          <w14:textFill>
            <w14:solidFill>
              <w14:schemeClr w14:val="tx1"/>
            </w14:solidFill>
          </w14:textFill>
        </w:rPr>
        <w:t>签约前准备工作应在结果公示后</w:t>
      </w: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仿宋_GB2312" w:eastAsia="仿宋_GB2312"/>
          <w:color w:val="000000" w:themeColor="text1"/>
          <w:kern w:val="0"/>
          <w:sz w:val="32"/>
          <w:szCs w:val="32"/>
          <w14:textFill>
            <w14:solidFill>
              <w14:schemeClr w14:val="tx1"/>
            </w14:solidFill>
          </w14:textFill>
        </w:rPr>
        <w:t>个月内完成，医保经办机构负责签约前的相关工作。</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第二十一条</w:t>
      </w:r>
      <w:r>
        <w:rPr>
          <w:rFonts w:hint="eastAsia" w:hAnsi="仿宋_GB2312" w:eastAsia="仿宋_GB2312"/>
          <w:color w:val="000000" w:themeColor="text1"/>
          <w:kern w:val="0"/>
          <w:sz w:val="32"/>
          <w:szCs w:val="32"/>
          <w14:textFill>
            <w14:solidFill>
              <w14:schemeClr w14:val="tx1"/>
            </w14:solidFill>
          </w14:textFill>
        </w:rPr>
        <w:t xml:space="preserve"> 对公示通过的医药机构，由经办</w:t>
      </w:r>
      <w:r>
        <w:rPr>
          <w:rFonts w:hAnsi="仿宋_GB2312" w:eastAsia="仿宋_GB2312"/>
          <w:color w:val="000000" w:themeColor="text1"/>
          <w:kern w:val="0"/>
          <w:sz w:val="32"/>
          <w:szCs w:val="32"/>
          <w14:textFill>
            <w14:solidFill>
              <w14:schemeClr w14:val="tx1"/>
            </w14:solidFill>
          </w14:textFill>
        </w:rPr>
        <w:t>机构</w:t>
      </w:r>
      <w:r>
        <w:rPr>
          <w:rFonts w:hint="eastAsia" w:hAnsi="仿宋_GB2312" w:eastAsia="仿宋_GB2312"/>
          <w:color w:val="000000" w:themeColor="text1"/>
          <w:kern w:val="0"/>
          <w:sz w:val="32"/>
          <w:szCs w:val="32"/>
          <w14:textFill>
            <w14:solidFill>
              <w14:schemeClr w14:val="tx1"/>
            </w14:solidFill>
          </w14:textFill>
        </w:rPr>
        <w:t>组织医疗保险政策和业务培训，医药机构的法定代表人、医保管理负责人应参加培训并通过医保经办机构组织的测试。测试总分</w:t>
      </w:r>
      <w:r>
        <w:rPr>
          <w:rFonts w:hAnsi="仿宋_GB2312" w:eastAsia="仿宋_GB2312"/>
          <w:color w:val="000000" w:themeColor="text1"/>
          <w:kern w:val="0"/>
          <w:sz w:val="32"/>
          <w:szCs w:val="32"/>
          <w14:textFill>
            <w14:solidFill>
              <w14:schemeClr w14:val="tx1"/>
            </w14:solidFill>
          </w14:textFill>
        </w:rPr>
        <w:t>为</w:t>
      </w:r>
      <w:r>
        <w:rPr>
          <w:rFonts w:hint="eastAsia" w:ascii="Times New Roman" w:hAnsi="Times New Roman" w:eastAsia="仿宋_GB2312" w:cs="Times New Roman"/>
          <w:color w:val="000000" w:themeColor="text1"/>
          <w:kern w:val="0"/>
          <w:sz w:val="32"/>
          <w:szCs w:val="32"/>
          <w14:textFill>
            <w14:solidFill>
              <w14:schemeClr w14:val="tx1"/>
            </w14:solidFill>
          </w14:textFill>
        </w:rPr>
        <w:t>100</w:t>
      </w:r>
      <w:r>
        <w:rPr>
          <w:rFonts w:hint="eastAsia" w:hAnsi="仿宋_GB2312" w:eastAsia="仿宋_GB2312"/>
          <w:color w:val="000000" w:themeColor="text1"/>
          <w:kern w:val="0"/>
          <w:sz w:val="32"/>
          <w:szCs w:val="32"/>
          <w14:textFill>
            <w14:solidFill>
              <w14:schemeClr w14:val="tx1"/>
            </w14:solidFill>
          </w14:textFill>
        </w:rPr>
        <w:t>分</w:t>
      </w:r>
      <w:r>
        <w:rPr>
          <w:rFonts w:hAnsi="仿宋_GB2312" w:eastAsia="仿宋_GB2312"/>
          <w:color w:val="000000" w:themeColor="text1"/>
          <w:kern w:val="0"/>
          <w:sz w:val="32"/>
          <w:szCs w:val="32"/>
          <w14:textFill>
            <w14:solidFill>
              <w14:schemeClr w14:val="tx1"/>
            </w14:solidFill>
          </w14:textFill>
        </w:rPr>
        <w:t>，合格分</w:t>
      </w:r>
      <w:r>
        <w:rPr>
          <w:rFonts w:hint="eastAsia" w:hAnsi="仿宋_GB2312" w:eastAsia="仿宋_GB2312"/>
          <w:color w:val="000000" w:themeColor="text1"/>
          <w:kern w:val="0"/>
          <w:sz w:val="32"/>
          <w:szCs w:val="32"/>
          <w14:textFill>
            <w14:solidFill>
              <w14:schemeClr w14:val="tx1"/>
            </w14:solidFill>
          </w14:textFill>
        </w:rPr>
        <w:t>为</w:t>
      </w:r>
      <w:r>
        <w:rPr>
          <w:rFonts w:hint="eastAsia" w:ascii="Times New Roman" w:hAnsi="Times New Roman" w:eastAsia="仿宋_GB2312" w:cs="Times New Roman"/>
          <w:color w:val="000000" w:themeColor="text1"/>
          <w:kern w:val="0"/>
          <w:sz w:val="32"/>
          <w:szCs w:val="32"/>
          <w14:textFill>
            <w14:solidFill>
              <w14:schemeClr w14:val="tx1"/>
            </w14:solidFill>
          </w14:textFill>
        </w:rPr>
        <w:t>80</w:t>
      </w:r>
      <w:r>
        <w:rPr>
          <w:rFonts w:hint="eastAsia" w:hAnsi="仿宋_GB2312" w:eastAsia="仿宋_GB2312"/>
          <w:color w:val="000000" w:themeColor="text1"/>
          <w:kern w:val="0"/>
          <w:sz w:val="32"/>
          <w:szCs w:val="32"/>
          <w14:textFill>
            <w14:solidFill>
              <w14:schemeClr w14:val="tx1"/>
            </w14:solidFill>
          </w14:textFill>
        </w:rPr>
        <w:t>分</w:t>
      </w:r>
      <w:r>
        <w:rPr>
          <w:rFonts w:hAnsi="仿宋_GB2312" w:eastAsia="仿宋_GB2312"/>
          <w:color w:val="000000" w:themeColor="text1"/>
          <w:kern w:val="0"/>
          <w:sz w:val="32"/>
          <w:szCs w:val="32"/>
          <w14:textFill>
            <w14:solidFill>
              <w14:schemeClr w14:val="tx1"/>
            </w14:solidFill>
          </w14:textFill>
        </w:rPr>
        <w:t>，</w:t>
      </w:r>
      <w:r>
        <w:rPr>
          <w:rFonts w:hint="eastAsia" w:hAnsi="仿宋_GB2312" w:eastAsia="仿宋_GB2312"/>
          <w:color w:val="000000" w:themeColor="text1"/>
          <w:kern w:val="0"/>
          <w:sz w:val="32"/>
          <w:szCs w:val="32"/>
          <w14:textFill>
            <w14:solidFill>
              <w14:schemeClr w14:val="tx1"/>
            </w14:solidFill>
          </w14:textFill>
        </w:rPr>
        <w:t>两次测试不合格的，该机构本次纳入医保定点的申请无效。</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第二十二条</w:t>
      </w:r>
      <w:r>
        <w:rPr>
          <w:rFonts w:hint="eastAsia" w:hAnsi="仿宋_GB2312" w:eastAsia="仿宋_GB2312"/>
          <w:color w:val="000000" w:themeColor="text1"/>
          <w:kern w:val="0"/>
          <w:sz w:val="32"/>
          <w:szCs w:val="32"/>
          <w14:textFill>
            <w14:solidFill>
              <w14:schemeClr w14:val="tx1"/>
            </w14:solidFill>
          </w14:textFill>
        </w:rPr>
        <w:t xml:space="preserve"> 医药</w:t>
      </w:r>
      <w:r>
        <w:rPr>
          <w:rFonts w:hAnsi="仿宋_GB2312" w:eastAsia="仿宋_GB2312"/>
          <w:color w:val="000000" w:themeColor="text1"/>
          <w:kern w:val="0"/>
          <w:sz w:val="32"/>
          <w:szCs w:val="32"/>
          <w14:textFill>
            <w14:solidFill>
              <w14:schemeClr w14:val="tx1"/>
            </w14:solidFill>
          </w14:textFill>
        </w:rPr>
        <w:t>机构经</w:t>
      </w:r>
      <w:r>
        <w:rPr>
          <w:rFonts w:hint="eastAsia" w:hAnsi="仿宋_GB2312" w:eastAsia="仿宋_GB2312"/>
          <w:color w:val="000000" w:themeColor="text1"/>
          <w:kern w:val="0"/>
          <w:sz w:val="32"/>
          <w:szCs w:val="32"/>
          <w14:textFill>
            <w14:solidFill>
              <w14:schemeClr w14:val="tx1"/>
            </w14:solidFill>
          </w14:textFill>
        </w:rPr>
        <w:t>测试</w:t>
      </w:r>
      <w:r>
        <w:rPr>
          <w:rFonts w:hAnsi="仿宋_GB2312" w:eastAsia="仿宋_GB2312"/>
          <w:color w:val="000000" w:themeColor="text1"/>
          <w:kern w:val="0"/>
          <w:sz w:val="32"/>
          <w:szCs w:val="32"/>
          <w14:textFill>
            <w14:solidFill>
              <w14:schemeClr w14:val="tx1"/>
            </w14:solidFill>
          </w14:textFill>
        </w:rPr>
        <w:t>合格</w:t>
      </w:r>
      <w:r>
        <w:rPr>
          <w:rFonts w:hint="eastAsia" w:hAnsi="仿宋_GB2312" w:eastAsia="仿宋_GB2312"/>
          <w:color w:val="000000" w:themeColor="text1"/>
          <w:kern w:val="0"/>
          <w:sz w:val="32"/>
          <w:szCs w:val="32"/>
          <w14:textFill>
            <w14:solidFill>
              <w14:schemeClr w14:val="tx1"/>
            </w14:solidFill>
          </w14:textFill>
        </w:rPr>
        <w:t>后</w:t>
      </w:r>
      <w:r>
        <w:rPr>
          <w:rFonts w:hAnsi="仿宋_GB2312" w:eastAsia="仿宋_GB2312"/>
          <w:color w:val="000000" w:themeColor="text1"/>
          <w:kern w:val="0"/>
          <w:sz w:val="32"/>
          <w:szCs w:val="32"/>
          <w14:textFill>
            <w14:solidFill>
              <w14:schemeClr w14:val="tx1"/>
            </w14:solidFill>
          </w14:textFill>
        </w:rPr>
        <w:t>，须按要求完成医保信息系统、监管平台软硬件配置和改造，医保网络接入等各项工作，并通过医保</w:t>
      </w:r>
      <w:r>
        <w:rPr>
          <w:rFonts w:hint="eastAsia" w:hAnsi="仿宋_GB2312" w:eastAsia="仿宋_GB2312"/>
          <w:color w:val="000000" w:themeColor="text1"/>
          <w:kern w:val="0"/>
          <w:sz w:val="32"/>
          <w:szCs w:val="32"/>
          <w14:textFill>
            <w14:solidFill>
              <w14:schemeClr w14:val="tx1"/>
            </w14:solidFill>
          </w14:textFill>
        </w:rPr>
        <w:t>信息</w:t>
      </w:r>
      <w:r>
        <w:rPr>
          <w:rFonts w:hAnsi="仿宋_GB2312" w:eastAsia="仿宋_GB2312"/>
          <w:color w:val="000000" w:themeColor="text1"/>
          <w:kern w:val="0"/>
          <w:sz w:val="32"/>
          <w:szCs w:val="32"/>
          <w14:textFill>
            <w14:solidFill>
              <w14:schemeClr w14:val="tx1"/>
            </w14:solidFill>
          </w14:textFill>
        </w:rPr>
        <w:t>部门验收</w:t>
      </w:r>
      <w:r>
        <w:rPr>
          <w:rFonts w:hint="eastAsia" w:hAnsi="仿宋_GB2312" w:eastAsia="仿宋_GB2312"/>
          <w:color w:val="000000" w:themeColor="text1"/>
          <w:kern w:val="0"/>
          <w:sz w:val="32"/>
          <w:szCs w:val="32"/>
          <w14:textFill>
            <w14:solidFill>
              <w14:schemeClr w14:val="tx1"/>
            </w14:solidFill>
          </w14:textFill>
        </w:rPr>
        <w:t>。</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hAnsi="仿宋_GB2312" w:eastAsia="仿宋_GB2312"/>
          <w:color w:val="000000" w:themeColor="text1"/>
          <w:kern w:val="0"/>
          <w:sz w:val="32"/>
          <w:szCs w:val="32"/>
          <w14:textFill>
            <w14:solidFill>
              <w14:schemeClr w14:val="tx1"/>
            </w14:solidFill>
          </w14:textFill>
        </w:rPr>
        <w:t>经</w:t>
      </w:r>
      <w:r>
        <w:rPr>
          <w:rFonts w:hAnsi="仿宋_GB2312" w:eastAsia="仿宋_GB2312"/>
          <w:color w:val="000000" w:themeColor="text1"/>
          <w:kern w:val="0"/>
          <w:sz w:val="32"/>
          <w:szCs w:val="32"/>
          <w14:textFill>
            <w14:solidFill>
              <w14:schemeClr w14:val="tx1"/>
            </w14:solidFill>
          </w14:textFill>
        </w:rPr>
        <w:t>验收合格，医保信息部门出具信息系统验收通过单。</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p>
    <w:p>
      <w:pPr>
        <w:numPr>
          <w:ilvl w:val="0"/>
          <w:numId w:val="4"/>
        </w:numPr>
        <w:shd w:val="clear" w:color="auto" w:fill="FFFFFF"/>
        <w:overflowPunct w:val="0"/>
        <w:spacing w:line="600" w:lineRule="exact"/>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协议签订</w:t>
      </w:r>
    </w:p>
    <w:p>
      <w:pPr>
        <w:shd w:val="clear" w:color="auto" w:fill="FFFFFF"/>
        <w:overflowPunct w:val="0"/>
        <w:spacing w:line="600" w:lineRule="exact"/>
        <w:rPr>
          <w:rFonts w:ascii="黑体" w:hAnsi="黑体" w:eastAsia="黑体" w:cs="黑体"/>
          <w:color w:val="000000" w:themeColor="text1"/>
          <w:kern w:val="0"/>
          <w:sz w:val="32"/>
          <w:szCs w:val="32"/>
          <w14:textFill>
            <w14:solidFill>
              <w14:schemeClr w14:val="tx1"/>
            </w14:solidFill>
          </w14:textFill>
        </w:rPr>
      </w:pP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第二十三条</w:t>
      </w:r>
      <w:r>
        <w:rPr>
          <w:rFonts w:hint="eastAsia" w:hAnsi="仿宋_GB2312" w:eastAsia="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olor w:val="000000" w:themeColor="text1"/>
          <w:kern w:val="0"/>
          <w:sz w:val="32"/>
          <w:szCs w:val="32"/>
          <w14:textFill>
            <w14:solidFill>
              <w14:schemeClr w14:val="tx1"/>
            </w14:solidFill>
          </w14:textFill>
        </w:rPr>
        <w:t>医药机构自收到辖区医保信息部门出具的《台州市医疗保障局信息系统验收通过单》</w:t>
      </w:r>
      <w:r>
        <w:rPr>
          <w:rFonts w:ascii="Times New Roman" w:hAnsi="Times New Roman" w:eastAsia="仿宋_GB2312" w:cs="Times New Roman"/>
          <w:color w:val="000000" w:themeColor="text1"/>
          <w:kern w:val="0"/>
          <w:sz w:val="32"/>
          <w:szCs w:val="32"/>
          <w14:textFill>
            <w14:solidFill>
              <w14:schemeClr w14:val="tx1"/>
            </w14:solidFill>
          </w14:textFill>
        </w:rPr>
        <w:t>10</w:t>
      </w:r>
      <w:r>
        <w:rPr>
          <w:rFonts w:hint="eastAsia" w:ascii="仿宋_GB2312" w:hAnsi="仿宋_GB2312" w:eastAsia="仿宋_GB2312"/>
          <w:color w:val="000000" w:themeColor="text1"/>
          <w:kern w:val="0"/>
          <w:sz w:val="32"/>
          <w:szCs w:val="32"/>
          <w14:textFill>
            <w14:solidFill>
              <w14:schemeClr w14:val="tx1"/>
            </w14:solidFill>
          </w14:textFill>
        </w:rPr>
        <w:t>个工作日内向辖区医保经办机构申请签订医保服务协议、开通医保结算，因自身原因逾期未签订医保协议的，视作自动放弃本次定点申请。</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第二十四条</w:t>
      </w:r>
      <w:r>
        <w:rPr>
          <w:rFonts w:hint="eastAsia" w:hAnsi="仿宋_GB2312" w:eastAsia="仿宋_GB2312"/>
          <w:color w:val="000000" w:themeColor="text1"/>
          <w:kern w:val="0"/>
          <w:sz w:val="32"/>
          <w:szCs w:val="32"/>
          <w14:textFill>
            <w14:solidFill>
              <w14:schemeClr w14:val="tx1"/>
            </w14:solidFill>
          </w14:textFill>
        </w:rPr>
        <w:t xml:space="preserve"> 签订服务协议前，经办机构将服务协议内容书面告知医药机构，双方就服务协议内容达成一致的，方可签订服务协议。医疗保障行政部门应对双方服务协议履行情况进行监督。</w:t>
      </w: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第二十五条 </w:t>
      </w:r>
      <w:r>
        <w:rPr>
          <w:rFonts w:hint="eastAsia" w:ascii="仿宋_GB2312" w:hAnsi="仿宋_GB2312" w:eastAsia="仿宋_GB2312"/>
          <w:color w:val="000000" w:themeColor="text1"/>
          <w:kern w:val="0"/>
          <w:sz w:val="32"/>
          <w:szCs w:val="32"/>
          <w14:textFill>
            <w14:solidFill>
              <w14:schemeClr w14:val="tx1"/>
            </w14:solidFill>
          </w14:textFill>
        </w:rPr>
        <w:t>医保协议有效年度为自然年度。</w:t>
      </w:r>
    </w:p>
    <w:p>
      <w:pPr>
        <w:shd w:val="clear" w:color="auto" w:fill="FFFFFF"/>
        <w:overflowPunct w:val="0"/>
        <w:spacing w:line="600" w:lineRule="exact"/>
        <w:jc w:val="center"/>
        <w:rPr>
          <w:rFonts w:ascii="黑体" w:hAnsi="黑体" w:eastAsia="黑体" w:cs="黑体"/>
          <w:color w:val="000000" w:themeColor="text1"/>
          <w:kern w:val="0"/>
          <w:sz w:val="36"/>
          <w:szCs w:val="36"/>
          <w14:textFill>
            <w14:solidFill>
              <w14:schemeClr w14:val="tx1"/>
            </w14:solidFill>
          </w14:textFill>
        </w:rPr>
      </w:pPr>
    </w:p>
    <w:p>
      <w:pPr>
        <w:numPr>
          <w:ilvl w:val="0"/>
          <w:numId w:val="4"/>
        </w:numPr>
        <w:shd w:val="clear" w:color="auto" w:fill="FFFFFF"/>
        <w:overflowPunct w:val="0"/>
        <w:spacing w:line="600" w:lineRule="exact"/>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公布备案</w:t>
      </w:r>
    </w:p>
    <w:p>
      <w:pPr>
        <w:pStyle w:val="2"/>
      </w:pP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第二十六条 </w:t>
      </w:r>
      <w:r>
        <w:rPr>
          <w:rFonts w:hint="eastAsia" w:hAnsi="仿宋_GB2312" w:eastAsia="仿宋_GB2312"/>
          <w:color w:val="000000" w:themeColor="text1"/>
          <w:kern w:val="0"/>
          <w:sz w:val="32"/>
          <w:szCs w:val="32"/>
          <w14:textFill>
            <w14:solidFill>
              <w14:schemeClr w14:val="tx1"/>
            </w14:solidFill>
          </w14:textFill>
        </w:rPr>
        <w:t>县级经办机构每季度将本辖区内新增纳入协议管理的医药机构名单报市级经办机构。</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第二十七条 </w:t>
      </w:r>
      <w:r>
        <w:rPr>
          <w:rFonts w:hint="eastAsia" w:hAnsi="仿宋_GB2312" w:eastAsia="仿宋_GB2312"/>
          <w:color w:val="000000" w:themeColor="text1"/>
          <w:kern w:val="0"/>
          <w:sz w:val="32"/>
          <w:szCs w:val="32"/>
          <w14:textFill>
            <w14:solidFill>
              <w14:schemeClr w14:val="tx1"/>
            </w14:solidFill>
          </w14:textFill>
        </w:rPr>
        <w:t>经办机构向社会公布新增定点医药机构名单，并报同级医疗保障行政部门备案。</w:t>
      </w:r>
    </w:p>
    <w:p>
      <w:pPr>
        <w:shd w:val="clear" w:color="auto" w:fill="FFFFFF"/>
        <w:overflowPunct w:val="0"/>
        <w:spacing w:line="600" w:lineRule="exact"/>
        <w:jc w:val="center"/>
        <w:rPr>
          <w:rFonts w:ascii="黑体" w:hAnsi="黑体" w:eastAsia="黑体" w:cs="黑体"/>
          <w:color w:val="000000" w:themeColor="text1"/>
          <w:kern w:val="0"/>
          <w:sz w:val="32"/>
          <w:szCs w:val="32"/>
          <w14:textFill>
            <w14:solidFill>
              <w14:schemeClr w14:val="tx1"/>
            </w14:solidFill>
          </w14:textFill>
        </w:rPr>
      </w:pPr>
    </w:p>
    <w:p>
      <w:pPr>
        <w:shd w:val="clear" w:color="auto" w:fill="FFFFFF"/>
        <w:overflowPunct w:val="0"/>
        <w:spacing w:line="600" w:lineRule="exact"/>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第九章 附则</w:t>
      </w:r>
    </w:p>
    <w:p>
      <w:pPr>
        <w:shd w:val="clear" w:color="auto" w:fill="FFFFFF"/>
        <w:overflowPunct w:val="0"/>
        <w:spacing w:line="600" w:lineRule="exact"/>
        <w:rPr>
          <w:rFonts w:ascii="黑体" w:hAnsi="黑体" w:eastAsia="黑体" w:cs="黑体"/>
          <w:color w:val="000000" w:themeColor="text1"/>
          <w:kern w:val="0"/>
          <w:sz w:val="32"/>
          <w:szCs w:val="32"/>
          <w14:textFill>
            <w14:solidFill>
              <w14:schemeClr w14:val="tx1"/>
            </w14:solidFill>
          </w14:textFill>
        </w:rPr>
      </w:pPr>
    </w:p>
    <w:p>
      <w:pPr>
        <w:shd w:val="clear" w:color="auto" w:fill="FFFFFF"/>
        <w:overflowPunct w:val="0"/>
        <w:spacing w:line="600" w:lineRule="exact"/>
        <w:ind w:firstLine="640" w:firstLineChars="200"/>
        <w:rPr>
          <w:rFonts w:ascii="仿宋_GB2312"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第二十八条 </w:t>
      </w:r>
      <w:r>
        <w:rPr>
          <w:rFonts w:hint="eastAsia" w:hAnsi="仿宋_GB2312" w:eastAsia="仿宋_GB2312"/>
          <w:color w:val="000000" w:themeColor="text1"/>
          <w:kern w:val="0"/>
          <w:sz w:val="32"/>
          <w:szCs w:val="32"/>
          <w14:textFill>
            <w14:solidFill>
              <w14:schemeClr w14:val="tx1"/>
            </w14:solidFill>
          </w14:textFill>
        </w:rPr>
        <w:t>本细则自发文之日起施行。如国家、省相关规定调整，按国家、省相关规定施行。</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第二十九条 </w:t>
      </w:r>
      <w:r>
        <w:rPr>
          <w:rFonts w:hint="eastAsia" w:hAnsi="仿宋_GB2312" w:eastAsia="仿宋_GB2312"/>
          <w:color w:val="000000" w:themeColor="text1"/>
          <w:kern w:val="0"/>
          <w:sz w:val="32"/>
          <w:szCs w:val="32"/>
          <w14:textFill>
            <w14:solidFill>
              <w14:schemeClr w14:val="tx1"/>
            </w14:solidFill>
          </w14:textFill>
        </w:rPr>
        <w:t>本细则由台州市医疗保障局负责解释。</w:t>
      </w: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p>
    <w:p>
      <w:pPr>
        <w:shd w:val="clear" w:color="auto" w:fill="FFFFFF"/>
        <w:overflowPunct w:val="0"/>
        <w:spacing w:line="600" w:lineRule="exact"/>
        <w:ind w:firstLine="640" w:firstLineChars="200"/>
        <w:rPr>
          <w:rFonts w:hAnsi="仿宋_GB2312" w:eastAsia="仿宋_GB2312"/>
          <w:color w:val="000000" w:themeColor="text1"/>
          <w:kern w:val="0"/>
          <w:sz w:val="32"/>
          <w:szCs w:val="32"/>
          <w14:textFill>
            <w14:solidFill>
              <w14:schemeClr w14:val="tx1"/>
            </w14:solidFill>
          </w14:textFill>
        </w:rPr>
      </w:pPr>
    </w:p>
    <w:p>
      <w:pPr>
        <w:pStyle w:val="2"/>
      </w:pPr>
    </w:p>
    <w:p>
      <w:pPr>
        <w:pStyle w:val="2"/>
      </w:pPr>
    </w:p>
    <w:p>
      <w:pPr>
        <w:shd w:val="clear" w:color="auto" w:fill="FFFFFF"/>
        <w:overflowPunct w:val="0"/>
        <w:spacing w:line="560" w:lineRule="exact"/>
        <w:jc w:val="center"/>
        <w:rPr>
          <w:rFonts w:hAnsi="仿宋_GB2312" w:eastAsia="仿宋_GB2312"/>
          <w:b/>
          <w:bCs/>
          <w:color w:val="000000" w:themeColor="text1"/>
          <w:kern w:val="0"/>
          <w:sz w:val="36"/>
          <w:szCs w:val="36"/>
          <w14:textFill>
            <w14:solidFill>
              <w14:schemeClr w14:val="tx1"/>
            </w14:solidFill>
          </w14:textFill>
        </w:rPr>
      </w:pPr>
      <w:r>
        <w:rPr>
          <w:rFonts w:hint="eastAsia" w:hAnsi="仿宋_GB2312" w:eastAsia="仿宋_GB2312"/>
          <w:b/>
          <w:bCs/>
          <w:color w:val="000000" w:themeColor="text1"/>
          <w:kern w:val="0"/>
          <w:sz w:val="36"/>
          <w:szCs w:val="36"/>
          <w14:textFill>
            <w14:solidFill>
              <w14:schemeClr w14:val="tx1"/>
            </w14:solidFill>
          </w14:textFill>
        </w:rPr>
        <w:t>附 表 目 录</w:t>
      </w:r>
    </w:p>
    <w:p>
      <w:pPr>
        <w:shd w:val="clear" w:color="auto" w:fill="FFFFFF"/>
        <w:overflowPunct w:val="0"/>
        <w:spacing w:line="560" w:lineRule="exact"/>
        <w:ind w:firstLine="723" w:firstLineChars="200"/>
        <w:jc w:val="center"/>
        <w:rPr>
          <w:rFonts w:hAnsi="仿宋_GB2312" w:eastAsia="仿宋_GB2312"/>
          <w:b/>
          <w:bCs/>
          <w:color w:val="000000" w:themeColor="text1"/>
          <w:kern w:val="0"/>
          <w:sz w:val="36"/>
          <w:szCs w:val="36"/>
          <w14:textFill>
            <w14:solidFill>
              <w14:schemeClr w14:val="tx1"/>
            </w14:solidFill>
          </w14:textFill>
        </w:rPr>
      </w:pPr>
    </w:p>
    <w:p>
      <w:pPr>
        <w:shd w:val="clear" w:color="auto" w:fill="FFFFFF"/>
        <w:overflowPunct w:val="0"/>
        <w:spacing w:line="560" w:lineRule="exact"/>
        <w:ind w:firstLine="1600" w:firstLineChars="500"/>
        <w:rPr>
          <w:rFonts w:ascii="仿宋_GB2312" w:hAnsi="仿宋_GB2312" w:eastAsia="仿宋_GB2312"/>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仿宋_GB2312" w:eastAsia="仿宋_GB2312"/>
          <w:color w:val="000000" w:themeColor="text1"/>
          <w:kern w:val="0"/>
          <w:sz w:val="32"/>
          <w:szCs w:val="32"/>
          <w14:textFill>
            <w14:solidFill>
              <w14:schemeClr w14:val="tx1"/>
            </w14:solidFill>
          </w14:textFill>
        </w:rPr>
        <w:t>《台州市医疗保障定点医疗机构申请表》</w:t>
      </w:r>
    </w:p>
    <w:p>
      <w:pPr>
        <w:shd w:val="clear" w:color="auto" w:fill="FFFFFF"/>
        <w:overflowPunct w:val="0"/>
        <w:spacing w:line="560" w:lineRule="exact"/>
        <w:ind w:firstLine="1600" w:firstLineChars="500"/>
        <w:rPr>
          <w:rFonts w:ascii="仿宋_GB2312" w:hAnsi="仿宋_GB2312" w:eastAsia="仿宋_GB2312"/>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仿宋_GB2312" w:eastAsia="仿宋_GB2312"/>
          <w:color w:val="000000" w:themeColor="text1"/>
          <w:kern w:val="0"/>
          <w:sz w:val="32"/>
          <w:szCs w:val="32"/>
          <w14:textFill>
            <w14:solidFill>
              <w14:schemeClr w14:val="tx1"/>
            </w14:solidFill>
          </w14:textFill>
        </w:rPr>
        <w:t>《台州市医疗保障定点零售药店申请表》</w:t>
      </w:r>
    </w:p>
    <w:p>
      <w:pPr>
        <w:shd w:val="clear" w:color="auto" w:fill="FFFFFF"/>
        <w:overflowPunct w:val="0"/>
        <w:spacing w:line="560" w:lineRule="exact"/>
        <w:ind w:firstLine="1600" w:firstLineChars="500"/>
        <w:rPr>
          <w:rFonts w:ascii="仿宋_GB2312" w:hAnsi="仿宋_GB2312" w:eastAsia="仿宋_GB2312"/>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仿宋_GB2312" w:eastAsia="仿宋_GB2312"/>
          <w:color w:val="000000" w:themeColor="text1"/>
          <w:kern w:val="0"/>
          <w:sz w:val="32"/>
          <w:szCs w:val="32"/>
          <w14:textFill>
            <w14:solidFill>
              <w14:schemeClr w14:val="tx1"/>
            </w14:solidFill>
          </w14:textFill>
        </w:rPr>
        <w:t>《台州市医疗保障定点医疗机构评估表》</w:t>
      </w:r>
    </w:p>
    <w:p>
      <w:pPr>
        <w:shd w:val="clear" w:color="auto" w:fill="FFFFFF"/>
        <w:overflowPunct w:val="0"/>
        <w:spacing w:line="560" w:lineRule="exact"/>
        <w:ind w:firstLine="1600" w:firstLineChars="500"/>
        <w:rPr>
          <w:rFonts w:hAnsi="仿宋_GB2312" w:eastAsia="仿宋_GB2312"/>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w:t>
      </w:r>
      <w:r>
        <w:rPr>
          <w:rFonts w:hint="eastAsia" w:hAnsi="仿宋_GB2312" w:eastAsia="仿宋_GB2312"/>
          <w:color w:val="000000" w:themeColor="text1"/>
          <w:kern w:val="0"/>
          <w:sz w:val="32"/>
          <w:szCs w:val="32"/>
          <w14:textFill>
            <w14:solidFill>
              <w14:schemeClr w14:val="tx1"/>
            </w14:solidFill>
          </w14:textFill>
        </w:rPr>
        <w:t>《台州市医疗保障定点零售药店评估表》</w:t>
      </w:r>
    </w:p>
    <w:p>
      <w:pPr>
        <w:shd w:val="clear" w:color="auto" w:fill="FFFFFF"/>
        <w:overflowPunct w:val="0"/>
        <w:spacing w:line="560" w:lineRule="exact"/>
        <w:ind w:left="630" w:leftChars="300" w:firstLine="960" w:firstLineChars="300"/>
        <w:rPr>
          <w:rFonts w:ascii="仿宋_GB2312" w:hAnsi="仿宋_GB2312" w:eastAsia="仿宋_GB2312"/>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仿宋_GB2312" w:hAnsi="仿宋_GB2312" w:eastAsia="仿宋_GB2312"/>
          <w:color w:val="000000" w:themeColor="text1"/>
          <w:kern w:val="0"/>
          <w:sz w:val="32"/>
          <w:szCs w:val="32"/>
          <w14:textFill>
            <w14:solidFill>
              <w14:schemeClr w14:val="tx1"/>
            </w14:solidFill>
          </w14:textFill>
        </w:rPr>
        <w:t>《台州市医疗保障新增定点医疗机构申请</w:t>
      </w:r>
    </w:p>
    <w:p>
      <w:pPr>
        <w:shd w:val="clear" w:color="auto" w:fill="FFFFFF"/>
        <w:overflowPunct w:val="0"/>
        <w:spacing w:line="560" w:lineRule="exact"/>
        <w:ind w:left="630" w:leftChars="300" w:firstLine="1280" w:firstLineChars="400"/>
        <w:rPr>
          <w:rFonts w:ascii="仿宋_GB2312" w:hAns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材料补正通知书》</w:t>
      </w:r>
    </w:p>
    <w:p>
      <w:pPr>
        <w:shd w:val="clear" w:color="auto" w:fill="FFFFFF"/>
        <w:overflowPunct w:val="0"/>
        <w:spacing w:line="560" w:lineRule="exact"/>
        <w:ind w:left="630" w:leftChars="300" w:firstLine="960" w:firstLineChars="300"/>
        <w:rPr>
          <w:rFonts w:ascii="仿宋_GB2312" w:hAnsi="仿宋_GB2312" w:eastAsia="仿宋_GB2312"/>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6.</w:t>
      </w:r>
      <w:r>
        <w:rPr>
          <w:rFonts w:hint="eastAsia" w:ascii="仿宋_GB2312" w:hAnsi="仿宋_GB2312" w:eastAsia="仿宋_GB2312"/>
          <w:color w:val="000000" w:themeColor="text1"/>
          <w:kern w:val="0"/>
          <w:sz w:val="32"/>
          <w:szCs w:val="32"/>
          <w14:textFill>
            <w14:solidFill>
              <w14:schemeClr w14:val="tx1"/>
            </w14:solidFill>
          </w14:textFill>
        </w:rPr>
        <w:t>《台州市医疗保障新增定点零售药店申请</w:t>
      </w:r>
    </w:p>
    <w:p>
      <w:pPr>
        <w:shd w:val="clear" w:color="auto" w:fill="FFFFFF"/>
        <w:overflowPunct w:val="0"/>
        <w:spacing w:line="560" w:lineRule="exact"/>
        <w:ind w:left="630" w:leftChars="300" w:firstLine="1280" w:firstLineChars="400"/>
        <w:rPr>
          <w:rFonts w:ascii="仿宋_GB2312" w:hAns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材料补正通知书》</w:t>
      </w:r>
    </w:p>
    <w:p>
      <w:pPr>
        <w:shd w:val="clear" w:color="auto" w:fill="FFFFFF"/>
        <w:overflowPunct w:val="0"/>
        <w:spacing w:line="560" w:lineRule="exact"/>
        <w:ind w:firstLine="1600" w:firstLineChars="500"/>
        <w:rPr>
          <w:rFonts w:ascii="仿宋_GB2312" w:hAnsi="仿宋_GB2312" w:eastAsia="仿宋_GB2312"/>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7.</w:t>
      </w:r>
      <w:r>
        <w:rPr>
          <w:rFonts w:hint="eastAsia" w:ascii="仿宋_GB2312" w:hAnsi="仿宋_GB2312" w:eastAsia="仿宋_GB2312"/>
          <w:color w:val="000000" w:themeColor="text1"/>
          <w:kern w:val="0"/>
          <w:sz w:val="32"/>
          <w:szCs w:val="32"/>
          <w14:textFill>
            <w14:solidFill>
              <w14:schemeClr w14:val="tx1"/>
            </w14:solidFill>
          </w14:textFill>
        </w:rPr>
        <w:t>《台州市医疗保障局信息系统验收通过单》</w:t>
      </w:r>
    </w:p>
    <w:p>
      <w:pPr>
        <w:shd w:val="clear" w:color="auto" w:fill="FFFFFF"/>
        <w:overflowPunct w:val="0"/>
        <w:spacing w:line="560" w:lineRule="exact"/>
        <w:ind w:firstLine="1600" w:firstLineChars="500"/>
        <w:rPr>
          <w:rFonts w:ascii="仿宋_GB2312" w:hAnsi="仿宋_GB2312" w:eastAsia="仿宋_GB2312"/>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8.</w:t>
      </w:r>
      <w:r>
        <w:rPr>
          <w:rFonts w:hint="eastAsia" w:ascii="仿宋_GB2312" w:hAnsi="仿宋_GB2312" w:eastAsia="仿宋_GB2312"/>
          <w:color w:val="000000" w:themeColor="text1"/>
          <w:kern w:val="0"/>
          <w:sz w:val="32"/>
          <w:szCs w:val="32"/>
          <w14:textFill>
            <w14:solidFill>
              <w14:schemeClr w14:val="tx1"/>
            </w14:solidFill>
          </w14:textFill>
        </w:rPr>
        <w:t>《征询函》</w:t>
      </w:r>
      <w:r>
        <w:rPr>
          <w:rFonts w:hint="eastAsia" w:ascii="仿宋_GB2312" w:hAnsi="仿宋_GB2312" w:eastAsia="仿宋_GB2312"/>
          <w:color w:val="000000" w:themeColor="text1"/>
          <w:kern w:val="0"/>
          <w:sz w:val="32"/>
          <w:szCs w:val="32"/>
          <w14:textFill>
            <w14:solidFill>
              <w14:schemeClr w14:val="tx1"/>
            </w14:solidFill>
          </w14:textFill>
        </w:rPr>
        <w:br w:type="page"/>
      </w:r>
    </w:p>
    <w:p>
      <w:pPr>
        <w:pStyle w:val="5"/>
        <w:adjustRightInd w:val="0"/>
        <w:snapToGrid w:val="0"/>
        <w:spacing w:line="360" w:lineRule="auto"/>
        <w:rPr>
          <w:rFonts w:ascii="Times New Roman" w:hAnsi="Times New Roman" w:eastAsia="黑体"/>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附</w:t>
      </w:r>
      <w:r>
        <w:rPr>
          <w:rFonts w:hint="eastAsia" w:ascii="Times New Roman" w:hAnsi="黑体" w:eastAsia="黑体"/>
          <w:color w:val="000000" w:themeColor="text1"/>
          <w:sz w:val="32"/>
          <w:szCs w:val="32"/>
          <w14:textFill>
            <w14:solidFill>
              <w14:schemeClr w14:val="tx1"/>
            </w14:solidFill>
          </w14:textFill>
        </w:rPr>
        <w:t>表</w:t>
      </w:r>
      <w:r>
        <w:rPr>
          <w:rFonts w:ascii="Times New Roman" w:hAnsi="Times New Roman" w:eastAsia="黑体"/>
          <w:color w:val="000000" w:themeColor="text1"/>
          <w:sz w:val="32"/>
          <w:szCs w:val="32"/>
          <w14:textFill>
            <w14:solidFill>
              <w14:schemeClr w14:val="tx1"/>
            </w14:solidFill>
          </w14:textFill>
        </w:rPr>
        <w:t>1</w:t>
      </w:r>
    </w:p>
    <w:p>
      <w:pPr>
        <w:pStyle w:val="5"/>
        <w:adjustRightInd w:val="0"/>
        <w:snapToGrid w:val="0"/>
        <w:spacing w:line="360" w:lineRule="auto"/>
        <w:rPr>
          <w:rFonts w:ascii="仿宋_GB2312" w:hAnsi="仿宋" w:eastAsia="仿宋_GB2312" w:cs="仿宋_GB2312"/>
          <w:color w:val="000000" w:themeColor="text1"/>
          <w:sz w:val="32"/>
          <w:szCs w:val="32"/>
          <w14:textFill>
            <w14:solidFill>
              <w14:schemeClr w14:val="tx1"/>
            </w14:solidFill>
          </w14:textFill>
        </w:rPr>
      </w:pPr>
    </w:p>
    <w:p>
      <w:pPr>
        <w:pStyle w:val="5"/>
        <w:adjustRightInd w:val="0"/>
        <w:snapToGrid w:val="0"/>
        <w:spacing w:line="360" w:lineRule="auto"/>
        <w:rPr>
          <w:rFonts w:ascii="仿宋_GB2312" w:hAnsi="仿宋" w:eastAsia="仿宋_GB2312" w:cs="仿宋_GB2312"/>
          <w:color w:val="000000" w:themeColor="text1"/>
          <w:sz w:val="32"/>
          <w:szCs w:val="32"/>
          <w14:textFill>
            <w14:solidFill>
              <w14:schemeClr w14:val="tx1"/>
            </w14:solidFill>
          </w14:textFill>
        </w:rPr>
      </w:pPr>
    </w:p>
    <w:p>
      <w:pPr>
        <w:pStyle w:val="5"/>
        <w:adjustRightInd w:val="0"/>
        <w:snapToGrid w:val="0"/>
        <w:spacing w:line="360" w:lineRule="auto"/>
        <w:rPr>
          <w:rFonts w:ascii="仿宋_GB2312" w:hAnsi="仿宋" w:eastAsia="仿宋_GB2312" w:cs="仿宋_GB2312"/>
          <w:color w:val="000000" w:themeColor="text1"/>
          <w:sz w:val="32"/>
          <w:szCs w:val="32"/>
          <w14:textFill>
            <w14:solidFill>
              <w14:schemeClr w14:val="tx1"/>
            </w14:solidFill>
          </w14:textFill>
        </w:rPr>
      </w:pPr>
    </w:p>
    <w:p>
      <w:pPr>
        <w:pStyle w:val="5"/>
        <w:adjustRightInd w:val="0"/>
        <w:snapToGrid w:val="0"/>
        <w:spacing w:line="360" w:lineRule="auto"/>
        <w:rPr>
          <w:rFonts w:ascii="仿宋_GB2312" w:hAnsi="仿宋" w:eastAsia="仿宋_GB2312" w:cs="仿宋_GB2312"/>
          <w:color w:val="000000" w:themeColor="text1"/>
          <w:sz w:val="32"/>
          <w:szCs w:val="32"/>
          <w14:textFill>
            <w14:solidFill>
              <w14:schemeClr w14:val="tx1"/>
            </w14:solidFill>
          </w14:textFill>
        </w:rPr>
      </w:pPr>
    </w:p>
    <w:p>
      <w:pPr>
        <w:widowControl/>
        <w:adjustRightInd w:val="0"/>
        <w:snapToGrid w:val="0"/>
        <w:spacing w:after="200"/>
        <w:jc w:val="center"/>
        <w:rPr>
          <w:rFonts w:ascii="方正小标宋_GBK" w:hAnsi="方正小标宋_GBK" w:eastAsia="方正小标宋_GBK" w:cs="方正小标宋_GBK"/>
          <w:bCs/>
          <w:color w:val="000000" w:themeColor="text1"/>
          <w:kern w:val="0"/>
          <w:sz w:val="52"/>
          <w:szCs w:val="52"/>
          <w14:textFill>
            <w14:solidFill>
              <w14:schemeClr w14:val="tx1"/>
            </w14:solidFill>
          </w14:textFill>
        </w:rPr>
      </w:pPr>
      <w:r>
        <w:rPr>
          <w:rFonts w:hint="eastAsia" w:ascii="方正小标宋_GBK" w:hAnsi="方正小标宋_GBK" w:eastAsia="方正小标宋_GBK" w:cs="方正小标宋_GBK"/>
          <w:bCs/>
          <w:color w:val="000000" w:themeColor="text1"/>
          <w:kern w:val="0"/>
          <w:sz w:val="52"/>
          <w:szCs w:val="52"/>
          <w14:textFill>
            <w14:solidFill>
              <w14:schemeClr w14:val="tx1"/>
            </w14:solidFill>
          </w14:textFill>
        </w:rPr>
        <w:t>台州市医疗保障</w:t>
      </w:r>
    </w:p>
    <w:p>
      <w:pPr>
        <w:widowControl/>
        <w:adjustRightInd w:val="0"/>
        <w:snapToGrid w:val="0"/>
        <w:spacing w:after="200"/>
        <w:jc w:val="center"/>
        <w:rPr>
          <w:rFonts w:ascii="方正书宋简体" w:hAnsi="Tahoma" w:eastAsia="方正书宋简体"/>
          <w:bCs/>
          <w:color w:val="000000" w:themeColor="text1"/>
          <w:kern w:val="0"/>
          <w:sz w:val="52"/>
          <w:szCs w:val="52"/>
          <w14:textFill>
            <w14:solidFill>
              <w14:schemeClr w14:val="tx1"/>
            </w14:solidFill>
          </w14:textFill>
        </w:rPr>
      </w:pPr>
      <w:r>
        <w:rPr>
          <w:rFonts w:hint="eastAsia" w:ascii="方正小标宋_GBK" w:hAnsi="方正小标宋_GBK" w:eastAsia="方正小标宋_GBK" w:cs="方正小标宋_GBK"/>
          <w:bCs/>
          <w:color w:val="000000" w:themeColor="text1"/>
          <w:kern w:val="0"/>
          <w:sz w:val="52"/>
          <w:szCs w:val="52"/>
          <w14:textFill>
            <w14:solidFill>
              <w14:schemeClr w14:val="tx1"/>
            </w14:solidFill>
          </w14:textFill>
        </w:rPr>
        <w:t>定点医疗机构申请表</w:t>
      </w: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r>
        <w:rPr>
          <w:rFonts w:ascii="Tahoma" w:hAnsi="Tahoma" w:eastAsia="微软雅黑"/>
          <w:color w:val="000000" w:themeColor="text1"/>
          <w:kern w:val="0"/>
          <w:sz w:val="22"/>
          <w:szCs w:val="22"/>
          <w14:textFill>
            <w14:solidFill>
              <w14:schemeClr w14:val="tx1"/>
            </w14:solidFill>
          </w14:textFill>
        </w:rPr>
        <w:t xml:space="preserve"> </w:t>
      </w: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r>
        <w:rPr>
          <w:rFonts w:ascii="Tahoma" w:hAnsi="Tahoma" w:eastAsia="微软雅黑"/>
          <w:color w:val="000000" w:themeColor="text1"/>
          <w:kern w:val="0"/>
          <w:sz w:val="22"/>
          <w:szCs w:val="22"/>
          <w14:textFill>
            <w14:solidFill>
              <w14:schemeClr w14:val="tx1"/>
            </w14:solidFill>
          </w14:textFill>
        </w:rPr>
        <w:t xml:space="preserve"> </w:t>
      </w: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r>
        <w:rPr>
          <w:rFonts w:ascii="Tahoma" w:hAnsi="Tahoma" w:eastAsia="微软雅黑"/>
          <w:color w:val="000000" w:themeColor="text1"/>
          <w:kern w:val="0"/>
          <w:sz w:val="22"/>
          <w:szCs w:val="22"/>
          <w14:textFill>
            <w14:solidFill>
              <w14:schemeClr w14:val="tx1"/>
            </w14:solidFill>
          </w14:textFill>
        </w:rPr>
        <w:t xml:space="preserve"> </w:t>
      </w: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r>
        <w:rPr>
          <w:rFonts w:ascii="Tahoma" w:hAnsi="Tahoma" w:eastAsia="微软雅黑"/>
          <w:color w:val="000000" w:themeColor="text1"/>
          <w:kern w:val="0"/>
          <w:sz w:val="22"/>
          <w:szCs w:val="22"/>
          <w14:textFill>
            <w14:solidFill>
              <w14:schemeClr w14:val="tx1"/>
            </w14:solidFill>
          </w14:textFill>
        </w:rPr>
        <w:t xml:space="preserve"> </w:t>
      </w: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r>
        <w:rPr>
          <w:rFonts w:ascii="Tahoma" w:hAnsi="Tahoma" w:eastAsia="微软雅黑"/>
          <w:color w:val="000000" w:themeColor="text1"/>
          <w:kern w:val="0"/>
          <w:sz w:val="22"/>
          <w:szCs w:val="22"/>
          <w14:textFill>
            <w14:solidFill>
              <w14:schemeClr w14:val="tx1"/>
            </w14:solidFill>
          </w14:textFill>
        </w:rPr>
        <w:t xml:space="preserve"> </w:t>
      </w:r>
    </w:p>
    <w:p>
      <w:pPr>
        <w:widowControl/>
        <w:adjustRightInd w:val="0"/>
        <w:snapToGrid w:val="0"/>
        <w:spacing w:after="200"/>
        <w:jc w:val="center"/>
        <w:rPr>
          <w:rFonts w:ascii="Tahoma" w:hAnsi="Tahoma" w:eastAsia="微软雅黑"/>
          <w:color w:val="000000" w:themeColor="text1"/>
          <w:kern w:val="0"/>
          <w:sz w:val="44"/>
          <w:szCs w:val="44"/>
          <w14:textFill>
            <w14:solidFill>
              <w14:schemeClr w14:val="tx1"/>
            </w14:solidFill>
          </w14:textFill>
        </w:rPr>
      </w:pPr>
      <w:r>
        <w:rPr>
          <w:rFonts w:ascii="Tahoma" w:hAnsi="Tahoma" w:eastAsia="微软雅黑"/>
          <w:color w:val="000000" w:themeColor="text1"/>
          <w:kern w:val="0"/>
          <w:sz w:val="44"/>
          <w:szCs w:val="44"/>
          <w14:textFill>
            <w14:solidFill>
              <w14:schemeClr w14:val="tx1"/>
            </w14:solidFill>
          </w14:textFill>
        </w:rPr>
        <w:t xml:space="preserve"> </w:t>
      </w:r>
    </w:p>
    <w:p>
      <w:pPr>
        <w:widowControl/>
        <w:adjustRightInd w:val="0"/>
        <w:snapToGrid w:val="0"/>
        <w:spacing w:after="200"/>
        <w:jc w:val="center"/>
        <w:rPr>
          <w:rFonts w:ascii="黑体" w:hAnsi="Tahoma" w:eastAsia="黑体"/>
          <w:color w:val="000000" w:themeColor="text1"/>
          <w:kern w:val="0"/>
          <w:sz w:val="32"/>
          <w:szCs w:val="32"/>
          <w:u w:val="thick"/>
          <w14:textFill>
            <w14:solidFill>
              <w14:schemeClr w14:val="tx1"/>
            </w14:solidFill>
          </w14:textFill>
        </w:rPr>
      </w:pPr>
      <w:r>
        <w:rPr>
          <w:rFonts w:hint="eastAsia" w:ascii="仿宋_GB2312" w:hAnsi="Tahoma" w:eastAsia="仿宋_GB2312"/>
          <w:color w:val="000000" w:themeColor="text1"/>
          <w:kern w:val="0"/>
          <w:sz w:val="32"/>
          <w:szCs w:val="32"/>
          <w14:textFill>
            <w14:solidFill>
              <w14:schemeClr w14:val="tx1"/>
            </w14:solidFill>
          </w14:textFill>
        </w:rPr>
        <w:t>申请单位</w:t>
      </w:r>
      <w:r>
        <w:rPr>
          <w:rFonts w:hint="eastAsia" w:ascii="黑体" w:hAnsi="黑体" w:eastAsia="黑体"/>
          <w:color w:val="000000" w:themeColor="text1"/>
          <w:kern w:val="0"/>
          <w:sz w:val="32"/>
          <w:szCs w:val="32"/>
          <w14:textFill>
            <w14:solidFill>
              <w14:schemeClr w14:val="tx1"/>
            </w14:solidFill>
          </w14:textFill>
        </w:rPr>
        <w:t>___________________</w:t>
      </w:r>
    </w:p>
    <w:p>
      <w:pPr>
        <w:widowControl/>
        <w:adjustRightInd w:val="0"/>
        <w:snapToGrid w:val="0"/>
        <w:spacing w:after="200"/>
        <w:ind w:firstLine="480" w:firstLineChars="150"/>
        <w:jc w:val="center"/>
        <w:rPr>
          <w:rFonts w:ascii="仿宋_GB2312" w:hAnsi="Tahoma" w:eastAsia="仿宋_GB2312"/>
          <w:color w:val="000000" w:themeColor="text1"/>
          <w:kern w:val="0"/>
          <w:sz w:val="32"/>
          <w:szCs w:val="32"/>
          <w14:textFill>
            <w14:solidFill>
              <w14:schemeClr w14:val="tx1"/>
            </w14:solidFill>
          </w14:textFill>
        </w:rPr>
      </w:pPr>
      <w:r>
        <w:rPr>
          <w:rFonts w:hint="eastAsia" w:ascii="仿宋_GB2312" w:hAnsi="Tahoma" w:eastAsia="仿宋_GB2312"/>
          <w:color w:val="000000" w:themeColor="text1"/>
          <w:kern w:val="0"/>
          <w:sz w:val="32"/>
          <w:szCs w:val="32"/>
          <w14:textFill>
            <w14:solidFill>
              <w14:schemeClr w14:val="tx1"/>
            </w14:solidFill>
          </w14:textFill>
        </w:rPr>
        <w:t xml:space="preserve"> </w:t>
      </w:r>
    </w:p>
    <w:p>
      <w:pPr>
        <w:widowControl/>
        <w:adjustRightInd w:val="0"/>
        <w:snapToGrid w:val="0"/>
        <w:spacing w:after="200"/>
        <w:jc w:val="center"/>
        <w:rPr>
          <w:rFonts w:ascii="黑体" w:hAnsi="Tahoma" w:eastAsia="黑体"/>
          <w:color w:val="000000" w:themeColor="text1"/>
          <w:kern w:val="0"/>
          <w:sz w:val="32"/>
          <w:szCs w:val="32"/>
          <w:u w:val="thick"/>
          <w14:textFill>
            <w14:solidFill>
              <w14:schemeClr w14:val="tx1"/>
            </w14:solidFill>
          </w14:textFill>
        </w:rPr>
      </w:pPr>
      <w:r>
        <w:rPr>
          <w:rFonts w:hint="eastAsia" w:ascii="仿宋_GB2312" w:hAnsi="Tahoma" w:eastAsia="仿宋_GB2312"/>
          <w:color w:val="000000" w:themeColor="text1"/>
          <w:kern w:val="0"/>
          <w:sz w:val="32"/>
          <w:szCs w:val="32"/>
          <w14:textFill>
            <w14:solidFill>
              <w14:schemeClr w14:val="tx1"/>
            </w14:solidFill>
          </w14:textFill>
        </w:rPr>
        <w:t>申请时间</w:t>
      </w:r>
      <w:r>
        <w:rPr>
          <w:rFonts w:hint="eastAsia" w:ascii="黑体" w:hAnsi="黑体" w:eastAsia="黑体"/>
          <w:color w:val="000000" w:themeColor="text1"/>
          <w:kern w:val="0"/>
          <w:sz w:val="32"/>
          <w:szCs w:val="32"/>
          <w14:textFill>
            <w14:solidFill>
              <w14:schemeClr w14:val="tx1"/>
            </w14:solidFill>
          </w14:textFill>
        </w:rPr>
        <w:t>___________________</w:t>
      </w: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r>
        <w:rPr>
          <w:rFonts w:ascii="Tahoma" w:hAnsi="Tahoma" w:eastAsia="微软雅黑"/>
          <w:color w:val="000000" w:themeColor="text1"/>
          <w:kern w:val="0"/>
          <w:sz w:val="22"/>
          <w:szCs w:val="22"/>
          <w14:textFill>
            <w14:solidFill>
              <w14:schemeClr w14:val="tx1"/>
            </w14:solidFill>
          </w14:textFill>
        </w:rPr>
        <w:t xml:space="preserve"> </w:t>
      </w:r>
    </w:p>
    <w:p>
      <w:pPr>
        <w:widowControl/>
        <w:adjustRightInd w:val="0"/>
        <w:snapToGrid w:val="0"/>
        <w:spacing w:line="590" w:lineRule="exact"/>
        <w:jc w:val="center"/>
        <w:rPr>
          <w:rFonts w:ascii="方正小标宋简体" w:hAnsi="Tahoma" w:eastAsia="方正小标宋简体"/>
          <w:color w:val="000000" w:themeColor="text1"/>
          <w:kern w:val="0"/>
          <w:sz w:val="44"/>
          <w:szCs w:val="44"/>
          <w14:textFill>
            <w14:solidFill>
              <w14:schemeClr w14:val="tx1"/>
            </w14:solidFill>
          </w14:textFill>
        </w:rPr>
      </w:pPr>
      <w:r>
        <w:rPr>
          <w:rFonts w:ascii="Tahoma" w:hAnsi="Tahoma" w:eastAsia="微软雅黑"/>
          <w:color w:val="000000" w:themeColor="text1"/>
          <w:kern w:val="0"/>
          <w:sz w:val="22"/>
          <w:szCs w:val="22"/>
          <w14:textFill>
            <w14:solidFill>
              <w14:schemeClr w14:val="tx1"/>
            </w14:solidFill>
          </w14:textFill>
        </w:rPr>
        <w:br w:type="column"/>
      </w:r>
    </w:p>
    <w:p>
      <w:pPr>
        <w:widowControl/>
        <w:adjustRightInd w:val="0"/>
        <w:snapToGrid w:val="0"/>
        <w:spacing w:line="590" w:lineRule="exact"/>
        <w:jc w:val="cente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t>填  写  说  明</w:t>
      </w:r>
    </w:p>
    <w:p>
      <w:pPr>
        <w:widowControl/>
        <w:adjustRightInd w:val="0"/>
        <w:snapToGrid w:val="0"/>
        <w:spacing w:line="590" w:lineRule="exact"/>
        <w:ind w:firstLine="560" w:firstLineChars="200"/>
        <w:jc w:val="left"/>
        <w:rPr>
          <w:rFonts w:eastAsia="仿宋_GB2312"/>
          <w:color w:val="000000" w:themeColor="text1"/>
          <w:kern w:val="0"/>
          <w:sz w:val="28"/>
          <w:szCs w:val="28"/>
          <w14:textFill>
            <w14:solidFill>
              <w14:schemeClr w14:val="tx1"/>
            </w14:solidFill>
          </w14:textFill>
        </w:rPr>
      </w:pPr>
    </w:p>
    <w:p>
      <w:pPr>
        <w:widowControl/>
        <w:adjustRightInd w:val="0"/>
        <w:snapToGrid w:val="0"/>
        <w:spacing w:line="590" w:lineRule="exact"/>
        <w:ind w:firstLine="560" w:firstLineChars="200"/>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一、该表填写内容可打印也可用蓝色或黑色水笔填写，要求字迹工整清楚，内容真实。</w:t>
      </w:r>
    </w:p>
    <w:p>
      <w:pPr>
        <w:widowControl/>
        <w:adjustRightInd w:val="0"/>
        <w:snapToGrid w:val="0"/>
        <w:spacing w:line="590" w:lineRule="exact"/>
        <w:ind w:firstLine="618" w:firstLineChars="221"/>
        <w:rPr>
          <w:rFonts w:eastAsia="方正小标宋简体"/>
          <w:color w:val="000000" w:themeColor="text1"/>
          <w:kern w:val="0"/>
          <w:sz w:val="52"/>
          <w:szCs w:val="52"/>
          <w14:textFill>
            <w14:solidFill>
              <w14:schemeClr w14:val="tx1"/>
            </w14:solidFill>
          </w14:textFill>
        </w:rPr>
      </w:pPr>
      <w:r>
        <w:rPr>
          <w:rFonts w:eastAsia="仿宋_GB2312"/>
          <w:color w:val="000000" w:themeColor="text1"/>
          <w:kern w:val="0"/>
          <w:sz w:val="28"/>
          <w:szCs w:val="28"/>
          <w14:textFill>
            <w14:solidFill>
              <w14:schemeClr w14:val="tx1"/>
            </w14:solidFill>
          </w14:textFill>
        </w:rPr>
        <w:t>二、符合申报条件并愿意承担医保服务的医疗机构，可在正式运营满3个月后向所在辖区医保经办机构提出申请，填写《</w:t>
      </w:r>
      <w:r>
        <w:rPr>
          <w:rFonts w:hint="eastAsia" w:eastAsia="仿宋_GB2312"/>
          <w:color w:val="000000" w:themeColor="text1"/>
          <w:kern w:val="0"/>
          <w:sz w:val="28"/>
          <w:szCs w:val="28"/>
          <w14:textFill>
            <w14:solidFill>
              <w14:schemeClr w14:val="tx1"/>
            </w14:solidFill>
          </w14:textFill>
        </w:rPr>
        <w:t>台州市</w:t>
      </w:r>
      <w:r>
        <w:rPr>
          <w:rFonts w:eastAsia="仿宋_GB2312"/>
          <w:color w:val="000000" w:themeColor="text1"/>
          <w:kern w:val="0"/>
          <w:sz w:val="28"/>
          <w:szCs w:val="28"/>
          <w14:textFill>
            <w14:solidFill>
              <w14:schemeClr w14:val="tx1"/>
            </w14:solidFill>
          </w14:textFill>
        </w:rPr>
        <w:t>医疗保障定点医疗机构申请表》</w:t>
      </w:r>
      <w:r>
        <w:rPr>
          <w:rFonts w:hint="eastAsia" w:eastAsia="仿宋_GB2312"/>
          <w:color w:val="000000" w:themeColor="text1"/>
          <w:kern w:val="0"/>
          <w:sz w:val="28"/>
          <w:szCs w:val="28"/>
          <w14:textFill>
            <w14:solidFill>
              <w14:schemeClr w14:val="tx1"/>
            </w14:solidFill>
          </w14:textFill>
        </w:rPr>
        <w:t>和</w:t>
      </w:r>
      <w:r>
        <w:rPr>
          <w:rFonts w:eastAsia="仿宋_GB2312"/>
          <w:color w:val="000000" w:themeColor="text1"/>
          <w:kern w:val="0"/>
          <w:sz w:val="28"/>
          <w:szCs w:val="28"/>
          <w14:textFill>
            <w14:solidFill>
              <w14:schemeClr w14:val="tx1"/>
            </w14:solidFill>
          </w14:textFill>
        </w:rPr>
        <w:t>《</w:t>
      </w:r>
      <w:r>
        <w:rPr>
          <w:rFonts w:hint="eastAsia" w:eastAsia="仿宋_GB2312"/>
          <w:color w:val="000000" w:themeColor="text1"/>
          <w:kern w:val="0"/>
          <w:sz w:val="28"/>
          <w:szCs w:val="28"/>
          <w14:textFill>
            <w14:solidFill>
              <w14:schemeClr w14:val="tx1"/>
            </w14:solidFill>
          </w14:textFill>
        </w:rPr>
        <w:t>台州市医疗保障定点医疗机构评估表</w:t>
      </w:r>
      <w:r>
        <w:rPr>
          <w:rFonts w:eastAsia="仿宋_GB2312"/>
          <w:color w:val="000000" w:themeColor="text1"/>
          <w:kern w:val="0"/>
          <w:sz w:val="28"/>
          <w:szCs w:val="28"/>
          <w14:textFill>
            <w14:solidFill>
              <w14:schemeClr w14:val="tx1"/>
            </w14:solidFill>
          </w14:textFill>
        </w:rPr>
        <w:t>》，并提供以下材料：</w:t>
      </w:r>
    </w:p>
    <w:p>
      <w:pPr>
        <w:widowControl/>
        <w:adjustRightInd w:val="0"/>
        <w:snapToGrid w:val="0"/>
        <w:spacing w:line="590" w:lineRule="exact"/>
        <w:ind w:firstLine="560" w:firstLineChars="200"/>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1</w:t>
      </w:r>
      <w:r>
        <w:rPr>
          <w:rFonts w:hint="eastAsia" w:ascii="Times New Roman" w:hAnsi="黑体" w:eastAsia="黑体" w:cs="Times New Roman"/>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医疗机构执业许可证或中医诊所备案证或军队医疗机构为民服务许可证照复印件</w:t>
      </w:r>
      <w:r>
        <w:rPr>
          <w:rFonts w:hint="eastAsia" w:eastAsia="仿宋_GB2312"/>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法定代表人、</w:t>
      </w:r>
      <w:r>
        <w:rPr>
          <w:rFonts w:hint="eastAsia" w:eastAsia="仿宋_GB2312"/>
          <w:color w:val="000000" w:themeColor="text1"/>
          <w:kern w:val="0"/>
          <w:sz w:val="28"/>
          <w:szCs w:val="28"/>
          <w14:textFill>
            <w14:solidFill>
              <w14:schemeClr w14:val="tx1"/>
            </w14:solidFill>
          </w14:textFill>
        </w:rPr>
        <w:t>主要负责人或</w:t>
      </w:r>
      <w:r>
        <w:rPr>
          <w:rFonts w:eastAsia="仿宋_GB2312"/>
          <w:color w:val="000000" w:themeColor="text1"/>
          <w:kern w:val="0"/>
          <w:sz w:val="28"/>
          <w:szCs w:val="28"/>
          <w14:textFill>
            <w14:solidFill>
              <w14:schemeClr w14:val="tx1"/>
            </w14:solidFill>
          </w14:textFill>
        </w:rPr>
        <w:t>实际控制人身份证复印件；</w:t>
      </w:r>
    </w:p>
    <w:p>
      <w:pPr>
        <w:widowControl/>
        <w:adjustRightInd w:val="0"/>
        <w:snapToGrid w:val="0"/>
        <w:spacing w:line="590" w:lineRule="exact"/>
        <w:ind w:firstLine="560" w:firstLineChars="200"/>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2</w:t>
      </w:r>
      <w:r>
        <w:rPr>
          <w:rFonts w:hint="eastAsia" w:ascii="Times New Roman" w:hAnsi="黑体" w:eastAsia="黑体" w:cs="Times New Roman"/>
          <w:color w:val="000000" w:themeColor="text1"/>
          <w:kern w:val="0"/>
          <w:sz w:val="28"/>
          <w:szCs w:val="28"/>
          <w14:textFill>
            <w14:solidFill>
              <w14:schemeClr w14:val="tx1"/>
            </w14:solidFill>
          </w14:textFill>
        </w:rPr>
        <w:t>．</w:t>
      </w:r>
      <w:r>
        <w:rPr>
          <w:rFonts w:hint="eastAsia" w:eastAsia="仿宋_GB2312"/>
          <w:color w:val="000000" w:themeColor="text1"/>
          <w:kern w:val="0"/>
          <w:sz w:val="28"/>
          <w:szCs w:val="28"/>
          <w14:textFill>
            <w14:solidFill>
              <w14:schemeClr w14:val="tx1"/>
            </w14:solidFill>
          </w14:textFill>
        </w:rPr>
        <w:t>医师</w:t>
      </w:r>
      <w:r>
        <w:rPr>
          <w:rFonts w:eastAsia="仿宋_GB2312"/>
          <w:color w:val="000000" w:themeColor="text1"/>
          <w:kern w:val="0"/>
          <w:sz w:val="28"/>
          <w:szCs w:val="28"/>
          <w14:textFill>
            <w14:solidFill>
              <w14:schemeClr w14:val="tx1"/>
            </w14:solidFill>
          </w14:textFill>
        </w:rPr>
        <w:t>、护士</w:t>
      </w:r>
      <w:r>
        <w:rPr>
          <w:rFonts w:hint="eastAsia" w:eastAsia="仿宋_GB2312"/>
          <w:color w:val="000000" w:themeColor="text1"/>
          <w:kern w:val="0"/>
          <w:sz w:val="28"/>
          <w:szCs w:val="28"/>
          <w14:textFill>
            <w14:solidFill>
              <w14:schemeClr w14:val="tx1"/>
            </w14:solidFill>
          </w14:textFill>
        </w:rPr>
        <w:t>等</w:t>
      </w:r>
      <w:r>
        <w:rPr>
          <w:rFonts w:eastAsia="仿宋_GB2312"/>
          <w:color w:val="000000" w:themeColor="text1"/>
          <w:kern w:val="0"/>
          <w:sz w:val="28"/>
          <w:szCs w:val="28"/>
          <w14:textFill>
            <w14:solidFill>
              <w14:schemeClr w14:val="tx1"/>
            </w14:solidFill>
          </w14:textFill>
        </w:rPr>
        <w:t>专业</w:t>
      </w:r>
      <w:r>
        <w:rPr>
          <w:rFonts w:hint="eastAsia" w:eastAsia="仿宋_GB2312"/>
          <w:color w:val="000000" w:themeColor="text1"/>
          <w:kern w:val="0"/>
          <w:sz w:val="28"/>
          <w:szCs w:val="28"/>
          <w14:textFill>
            <w14:solidFill>
              <w14:schemeClr w14:val="tx1"/>
            </w14:solidFill>
          </w14:textFill>
        </w:rPr>
        <w:t>技术人员</w:t>
      </w:r>
      <w:r>
        <w:rPr>
          <w:rFonts w:eastAsia="仿宋_GB2312"/>
          <w:color w:val="000000" w:themeColor="text1"/>
          <w:kern w:val="0"/>
          <w:sz w:val="28"/>
          <w:szCs w:val="28"/>
          <w14:textFill>
            <w14:solidFill>
              <w14:schemeClr w14:val="tx1"/>
            </w14:solidFill>
          </w14:textFill>
        </w:rPr>
        <w:t>执业证书</w:t>
      </w:r>
      <w:r>
        <w:rPr>
          <w:rFonts w:hint="eastAsia" w:eastAsia="仿宋_GB2312"/>
          <w:color w:val="000000" w:themeColor="text1"/>
          <w:kern w:val="0"/>
          <w:sz w:val="28"/>
          <w:szCs w:val="28"/>
          <w14:textFill>
            <w14:solidFill>
              <w14:schemeClr w14:val="tx1"/>
            </w14:solidFill>
          </w14:textFill>
        </w:rPr>
        <w:t>及其</w:t>
      </w:r>
      <w:r>
        <w:rPr>
          <w:rFonts w:eastAsia="仿宋_GB2312"/>
          <w:color w:val="000000" w:themeColor="text1"/>
          <w:kern w:val="0"/>
          <w:sz w:val="28"/>
          <w:szCs w:val="28"/>
          <w14:textFill>
            <w14:solidFill>
              <w14:schemeClr w14:val="tx1"/>
            </w14:solidFill>
          </w14:textFill>
        </w:rPr>
        <w:t>劳动合同复印件；</w:t>
      </w:r>
    </w:p>
    <w:p>
      <w:pPr>
        <w:widowControl/>
        <w:adjustRightInd w:val="0"/>
        <w:snapToGrid w:val="0"/>
        <w:spacing w:line="590" w:lineRule="exact"/>
        <w:ind w:firstLine="560" w:firstLineChars="200"/>
        <w:rPr>
          <w:rFonts w:ascii="Times New Roman" w:hAnsi="黑体" w:eastAsia="黑体" w:cs="Times New Roman"/>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3</w:t>
      </w:r>
      <w:r>
        <w:rPr>
          <w:rFonts w:hint="eastAsia" w:ascii="Times New Roman" w:hAnsi="黑体" w:eastAsia="黑体" w:cs="Times New Roman"/>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与医保政策对应的内部管理制度和财务制度文本；</w:t>
      </w:r>
    </w:p>
    <w:p>
      <w:pPr>
        <w:widowControl/>
        <w:adjustRightInd w:val="0"/>
        <w:snapToGrid w:val="0"/>
        <w:spacing w:line="590" w:lineRule="exact"/>
        <w:ind w:firstLine="560" w:firstLineChars="200"/>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4</w:t>
      </w:r>
      <w:r>
        <w:rPr>
          <w:rFonts w:hint="eastAsia" w:ascii="Times New Roman" w:hAnsi="黑体" w:eastAsia="黑体" w:cs="Times New Roman"/>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与医保有关的医疗机构信息系统相关材料；</w:t>
      </w:r>
    </w:p>
    <w:p>
      <w:pPr>
        <w:widowControl/>
        <w:adjustRightInd w:val="0"/>
        <w:snapToGrid w:val="0"/>
        <w:spacing w:line="590" w:lineRule="exact"/>
        <w:ind w:firstLine="560" w:firstLineChars="200"/>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5</w:t>
      </w:r>
      <w:r>
        <w:rPr>
          <w:rFonts w:hint="eastAsia" w:ascii="Times New Roman" w:hAnsi="黑体" w:eastAsia="黑体" w:cs="Times New Roman"/>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纳入定点后使用医疗保障基金的预测性分析报告；</w:t>
      </w:r>
    </w:p>
    <w:p>
      <w:pPr>
        <w:widowControl/>
        <w:adjustRightInd w:val="0"/>
        <w:snapToGrid w:val="0"/>
        <w:spacing w:line="590" w:lineRule="exact"/>
        <w:ind w:firstLine="560" w:firstLineChars="200"/>
        <w:rPr>
          <w:rFonts w:eastAsia="仿宋_GB2312"/>
          <w:color w:val="000000" w:themeColor="text1"/>
          <w:kern w:val="0"/>
          <w:sz w:val="28"/>
          <w:szCs w:val="28"/>
          <w14:textFill>
            <w14:solidFill>
              <w14:schemeClr w14:val="tx1"/>
            </w14:solidFill>
          </w14:textFill>
        </w:rPr>
      </w:pPr>
      <w:r>
        <w:rPr>
          <w:rFonts w:hint="eastAsia" w:eastAsia="仿宋_GB2312"/>
          <w:color w:val="000000" w:themeColor="text1"/>
          <w:kern w:val="0"/>
          <w:sz w:val="28"/>
          <w:szCs w:val="28"/>
          <w14:textFill>
            <w14:solidFill>
              <w14:schemeClr w14:val="tx1"/>
            </w14:solidFill>
          </w14:textFill>
        </w:rPr>
        <w:t>6．</w:t>
      </w:r>
      <w:r>
        <w:rPr>
          <w:rFonts w:eastAsia="仿宋_GB2312"/>
          <w:color w:val="000000" w:themeColor="text1"/>
          <w:kern w:val="0"/>
          <w:sz w:val="28"/>
          <w:szCs w:val="28"/>
          <w14:textFill>
            <w14:solidFill>
              <w14:schemeClr w14:val="tx1"/>
            </w14:solidFill>
          </w14:textFill>
        </w:rPr>
        <w:t>按相关规定要求提供的其他材料。</w:t>
      </w:r>
    </w:p>
    <w:p>
      <w:pPr>
        <w:widowControl/>
        <w:adjustRightInd w:val="0"/>
        <w:snapToGrid w:val="0"/>
        <w:spacing w:line="590" w:lineRule="exact"/>
        <w:ind w:firstLine="560" w:firstLineChars="200"/>
        <w:jc w:val="left"/>
        <w:rPr>
          <w:rFonts w:eastAsia="仿宋_GB2312"/>
          <w:color w:val="000000" w:themeColor="text1"/>
          <w:kern w:val="0"/>
          <w:sz w:val="28"/>
          <w:szCs w:val="28"/>
          <w14:textFill>
            <w14:solidFill>
              <w14:schemeClr w14:val="tx1"/>
            </w14:solidFill>
          </w14:textFill>
        </w:rPr>
      </w:pPr>
    </w:p>
    <w:p>
      <w:pPr>
        <w:widowControl/>
        <w:adjustRightInd w:val="0"/>
        <w:snapToGrid w:val="0"/>
        <w:spacing w:line="20" w:lineRule="exact"/>
        <w:jc w:val="left"/>
        <w:rPr>
          <w:rFonts w:ascii="仿宋_GB2312" w:hAnsi="宋体"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br w:type="column"/>
      </w:r>
    </w:p>
    <w:tbl>
      <w:tblPr>
        <w:tblStyle w:val="6"/>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475"/>
        <w:gridCol w:w="295"/>
        <w:gridCol w:w="204"/>
        <w:gridCol w:w="307"/>
        <w:gridCol w:w="626"/>
        <w:gridCol w:w="1516"/>
        <w:gridCol w:w="99"/>
        <w:gridCol w:w="1372"/>
        <w:gridCol w:w="1175"/>
        <w:gridCol w:w="296"/>
        <w:gridCol w:w="14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医疗机构名称</w:t>
            </w:r>
          </w:p>
        </w:tc>
        <w:tc>
          <w:tcPr>
            <w:tcW w:w="2548" w:type="dxa"/>
            <w:gridSpan w:val="4"/>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医疗机构</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其他名称</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所有制形式</w:t>
            </w:r>
          </w:p>
        </w:tc>
        <w:tc>
          <w:tcPr>
            <w:tcW w:w="2548" w:type="dxa"/>
            <w:gridSpan w:val="4"/>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法定代表人姓名</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法定代表人</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身份证号码</w:t>
            </w:r>
          </w:p>
        </w:tc>
        <w:tc>
          <w:tcPr>
            <w:tcW w:w="2548" w:type="dxa"/>
            <w:gridSpan w:val="4"/>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法定代表人</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联系电话</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医院等级</w:t>
            </w:r>
          </w:p>
        </w:tc>
        <w:tc>
          <w:tcPr>
            <w:tcW w:w="2548" w:type="dxa"/>
            <w:gridSpan w:val="4"/>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邮政编码</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是否分支机构</w:t>
            </w:r>
          </w:p>
        </w:tc>
        <w:tc>
          <w:tcPr>
            <w:tcW w:w="2548" w:type="dxa"/>
            <w:gridSpan w:val="4"/>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上级医疗</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机构名称</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经营性质</w:t>
            </w:r>
          </w:p>
        </w:tc>
        <w:tc>
          <w:tcPr>
            <w:tcW w:w="2548" w:type="dxa"/>
            <w:gridSpan w:val="4"/>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开业时间</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单位用房性质</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（自有/租赁）</w:t>
            </w:r>
          </w:p>
        </w:tc>
        <w:tc>
          <w:tcPr>
            <w:tcW w:w="2548" w:type="dxa"/>
            <w:gridSpan w:val="4"/>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单位用房租赁合同</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剩余有效期限</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Merge w:val="restart"/>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建筑面积</w:t>
            </w:r>
          </w:p>
        </w:tc>
        <w:tc>
          <w:tcPr>
            <w:tcW w:w="2548" w:type="dxa"/>
            <w:gridSpan w:val="4"/>
            <w:vMerge w:val="restart"/>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500米内有无其他</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定点医疗机构</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Merge w:val="continue"/>
            <w:vAlign w:val="center"/>
          </w:tcPr>
          <w:p>
            <w:pPr>
              <w:jc w:val="center"/>
              <w:rPr>
                <w:rFonts w:eastAsia="仿宋_GB2312"/>
                <w:color w:val="000000" w:themeColor="text1"/>
                <w:sz w:val="24"/>
                <w14:textFill>
                  <w14:solidFill>
                    <w14:schemeClr w14:val="tx1"/>
                  </w14:solidFill>
                </w14:textFill>
              </w:rPr>
            </w:pPr>
          </w:p>
        </w:tc>
        <w:tc>
          <w:tcPr>
            <w:tcW w:w="2548" w:type="dxa"/>
            <w:gridSpan w:val="4"/>
            <w:vMerge w:val="continue"/>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1000米内有无其他</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定点医疗机构</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单位地址</w:t>
            </w:r>
          </w:p>
        </w:tc>
        <w:tc>
          <w:tcPr>
            <w:tcW w:w="6871" w:type="dxa"/>
            <w:gridSpan w:val="8"/>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单位经办人</w:t>
            </w:r>
          </w:p>
        </w:tc>
        <w:tc>
          <w:tcPr>
            <w:tcW w:w="2548" w:type="dxa"/>
            <w:gridSpan w:val="4"/>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联系电话</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Merge w:val="restart"/>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医疗机构执业</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许可证号</w:t>
            </w:r>
          </w:p>
        </w:tc>
        <w:tc>
          <w:tcPr>
            <w:tcW w:w="2548" w:type="dxa"/>
            <w:gridSpan w:val="4"/>
            <w:vMerge w:val="restart"/>
            <w:vAlign w:val="center"/>
          </w:tcPr>
          <w:p>
            <w:pPr>
              <w:jc w:val="center"/>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执业许可时间</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974" w:type="dxa"/>
            <w:gridSpan w:val="3"/>
            <w:vMerge w:val="continue"/>
            <w:vAlign w:val="center"/>
          </w:tcPr>
          <w:p>
            <w:pPr>
              <w:widowControl/>
              <w:jc w:val="left"/>
              <w:rPr>
                <w:rFonts w:eastAsia="仿宋_GB2312"/>
                <w:color w:val="000000" w:themeColor="text1"/>
                <w:sz w:val="24"/>
                <w14:textFill>
                  <w14:solidFill>
                    <w14:schemeClr w14:val="tx1"/>
                  </w14:solidFill>
                </w14:textFill>
              </w:rPr>
            </w:pPr>
          </w:p>
        </w:tc>
        <w:tc>
          <w:tcPr>
            <w:tcW w:w="2548" w:type="dxa"/>
            <w:gridSpan w:val="4"/>
            <w:vMerge w:val="continue"/>
            <w:vAlign w:val="center"/>
          </w:tcPr>
          <w:p>
            <w:pPr>
              <w:widowControl/>
              <w:jc w:val="left"/>
              <w:rPr>
                <w:rFonts w:eastAsia="仿宋_GB2312"/>
                <w:color w:val="000000" w:themeColor="text1"/>
                <w:sz w:val="24"/>
                <w14:textFill>
                  <w14:solidFill>
                    <w14:schemeClr w14:val="tx1"/>
                  </w14:solidFill>
                </w14:textFill>
              </w:rPr>
            </w:pPr>
          </w:p>
        </w:tc>
        <w:tc>
          <w:tcPr>
            <w:tcW w:w="2547"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变更记录</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（近三年）</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统一社会</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信用代码</w:t>
            </w:r>
          </w:p>
        </w:tc>
        <w:tc>
          <w:tcPr>
            <w:tcW w:w="6871" w:type="dxa"/>
            <w:gridSpan w:val="8"/>
            <w:vAlign w:val="center"/>
          </w:tcPr>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062"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执业范围</w:t>
            </w:r>
          </w:p>
        </w:tc>
        <w:tc>
          <w:tcPr>
            <w:tcW w:w="6871" w:type="dxa"/>
            <w:gridSpan w:val="8"/>
            <w:vAlign w:val="center"/>
          </w:tcPr>
          <w:p>
            <w:pPr>
              <w:jc w:val="center"/>
              <w:rPr>
                <w:rFonts w:eastAsia="仿宋_GB2312"/>
                <w:color w:val="000000" w:themeColor="text1"/>
                <w:sz w:val="24"/>
                <w14:textFill>
                  <w14:solidFill>
                    <w14:schemeClr w14:val="tx1"/>
                  </w14:solidFill>
                </w14:textFill>
              </w:rPr>
            </w:pPr>
          </w:p>
          <w:p>
            <w:pP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pStyle w:val="2"/>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770"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人员构成</w:t>
            </w:r>
          </w:p>
        </w:tc>
        <w:tc>
          <w:tcPr>
            <w:tcW w:w="1137"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人数</w:t>
            </w:r>
          </w:p>
        </w:tc>
        <w:tc>
          <w:tcPr>
            <w:tcW w:w="1516" w:type="dxa"/>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高级职称</w:t>
            </w:r>
          </w:p>
        </w:tc>
        <w:tc>
          <w:tcPr>
            <w:tcW w:w="1471"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中级职称</w:t>
            </w:r>
          </w:p>
        </w:tc>
        <w:tc>
          <w:tcPr>
            <w:tcW w:w="1471"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初级职称</w:t>
            </w:r>
          </w:p>
        </w:tc>
        <w:tc>
          <w:tcPr>
            <w:tcW w:w="1480" w:type="dxa"/>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770"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医师</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盲人按摩师</w:t>
            </w:r>
            <w:r>
              <w:rPr>
                <w:rFonts w:hint="eastAsia" w:eastAsia="仿宋_GB2312"/>
                <w:color w:val="000000" w:themeColor="text1"/>
                <w:sz w:val="24"/>
                <w14:textFill>
                  <w14:solidFill>
                    <w14:schemeClr w14:val="tx1"/>
                  </w14:solidFill>
                </w14:textFill>
              </w:rPr>
              <w:t>）</w:t>
            </w:r>
          </w:p>
        </w:tc>
        <w:tc>
          <w:tcPr>
            <w:tcW w:w="1137" w:type="dxa"/>
            <w:gridSpan w:val="3"/>
            <w:vAlign w:val="center"/>
          </w:tcPr>
          <w:p>
            <w:pPr>
              <w:jc w:val="center"/>
              <w:rPr>
                <w:rFonts w:eastAsia="仿宋_GB2312"/>
                <w:color w:val="000000" w:themeColor="text1"/>
                <w:sz w:val="24"/>
                <w14:textFill>
                  <w14:solidFill>
                    <w14:schemeClr w14:val="tx1"/>
                  </w14:solidFill>
                </w14:textFill>
              </w:rPr>
            </w:pPr>
          </w:p>
        </w:tc>
        <w:tc>
          <w:tcPr>
            <w:tcW w:w="1516" w:type="dxa"/>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80"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770"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其中：主要</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执业点医师</w:t>
            </w:r>
          </w:p>
        </w:tc>
        <w:tc>
          <w:tcPr>
            <w:tcW w:w="1137" w:type="dxa"/>
            <w:gridSpan w:val="3"/>
            <w:vAlign w:val="center"/>
          </w:tcPr>
          <w:p>
            <w:pPr>
              <w:jc w:val="center"/>
              <w:rPr>
                <w:rFonts w:eastAsia="仿宋_GB2312"/>
                <w:color w:val="000000" w:themeColor="text1"/>
                <w:sz w:val="24"/>
                <w14:textFill>
                  <w14:solidFill>
                    <w14:schemeClr w14:val="tx1"/>
                  </w14:solidFill>
                </w14:textFill>
              </w:rPr>
            </w:pPr>
          </w:p>
        </w:tc>
        <w:tc>
          <w:tcPr>
            <w:tcW w:w="1516" w:type="dxa"/>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80"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770"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护</w:t>
            </w: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士</w:t>
            </w:r>
          </w:p>
        </w:tc>
        <w:tc>
          <w:tcPr>
            <w:tcW w:w="1137" w:type="dxa"/>
            <w:gridSpan w:val="3"/>
            <w:vAlign w:val="center"/>
          </w:tcPr>
          <w:p>
            <w:pPr>
              <w:jc w:val="center"/>
              <w:rPr>
                <w:rFonts w:eastAsia="仿宋_GB2312"/>
                <w:color w:val="000000" w:themeColor="text1"/>
                <w:sz w:val="24"/>
                <w14:textFill>
                  <w14:solidFill>
                    <w14:schemeClr w14:val="tx1"/>
                  </w14:solidFill>
                </w14:textFill>
              </w:rPr>
            </w:pPr>
          </w:p>
        </w:tc>
        <w:tc>
          <w:tcPr>
            <w:tcW w:w="1516" w:type="dxa"/>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80"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770"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医技人员</w:t>
            </w:r>
          </w:p>
        </w:tc>
        <w:tc>
          <w:tcPr>
            <w:tcW w:w="1137" w:type="dxa"/>
            <w:gridSpan w:val="3"/>
            <w:vAlign w:val="center"/>
          </w:tcPr>
          <w:p>
            <w:pPr>
              <w:jc w:val="center"/>
              <w:rPr>
                <w:rFonts w:eastAsia="仿宋_GB2312"/>
                <w:color w:val="000000" w:themeColor="text1"/>
                <w:sz w:val="24"/>
                <w14:textFill>
                  <w14:solidFill>
                    <w14:schemeClr w14:val="tx1"/>
                  </w14:solidFill>
                </w14:textFill>
              </w:rPr>
            </w:pPr>
          </w:p>
        </w:tc>
        <w:tc>
          <w:tcPr>
            <w:tcW w:w="1516" w:type="dxa"/>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80"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770"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药学人员</w:t>
            </w:r>
          </w:p>
        </w:tc>
        <w:tc>
          <w:tcPr>
            <w:tcW w:w="1137" w:type="dxa"/>
            <w:gridSpan w:val="3"/>
            <w:vAlign w:val="center"/>
          </w:tcPr>
          <w:p>
            <w:pPr>
              <w:jc w:val="center"/>
              <w:rPr>
                <w:rFonts w:eastAsia="仿宋_GB2312"/>
                <w:color w:val="000000" w:themeColor="text1"/>
                <w:sz w:val="24"/>
                <w14:textFill>
                  <w14:solidFill>
                    <w14:schemeClr w14:val="tx1"/>
                  </w14:solidFill>
                </w14:textFill>
              </w:rPr>
            </w:pPr>
          </w:p>
        </w:tc>
        <w:tc>
          <w:tcPr>
            <w:tcW w:w="1516" w:type="dxa"/>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80"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770"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其他人员</w:t>
            </w:r>
          </w:p>
        </w:tc>
        <w:tc>
          <w:tcPr>
            <w:tcW w:w="1137" w:type="dxa"/>
            <w:gridSpan w:val="3"/>
            <w:vAlign w:val="center"/>
          </w:tcPr>
          <w:p>
            <w:pPr>
              <w:jc w:val="center"/>
              <w:rPr>
                <w:rFonts w:eastAsia="仿宋_GB2312"/>
                <w:color w:val="000000" w:themeColor="text1"/>
                <w:sz w:val="24"/>
                <w14:textFill>
                  <w14:solidFill>
                    <w14:schemeClr w14:val="tx1"/>
                  </w14:solidFill>
                </w14:textFill>
              </w:rPr>
            </w:pPr>
          </w:p>
        </w:tc>
        <w:tc>
          <w:tcPr>
            <w:tcW w:w="1516" w:type="dxa"/>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80"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770"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合</w:t>
            </w: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计</w:t>
            </w:r>
          </w:p>
        </w:tc>
        <w:tc>
          <w:tcPr>
            <w:tcW w:w="1137" w:type="dxa"/>
            <w:gridSpan w:val="3"/>
            <w:vAlign w:val="center"/>
          </w:tcPr>
          <w:p>
            <w:pPr>
              <w:jc w:val="center"/>
              <w:rPr>
                <w:rFonts w:eastAsia="仿宋_GB2312"/>
                <w:color w:val="000000" w:themeColor="text1"/>
                <w:sz w:val="24"/>
                <w14:textFill>
                  <w14:solidFill>
                    <w14:schemeClr w14:val="tx1"/>
                  </w14:solidFill>
                </w14:textFill>
              </w:rPr>
            </w:pPr>
          </w:p>
        </w:tc>
        <w:tc>
          <w:tcPr>
            <w:tcW w:w="1516" w:type="dxa"/>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71" w:type="dxa"/>
            <w:gridSpan w:val="2"/>
            <w:vAlign w:val="center"/>
          </w:tcPr>
          <w:p>
            <w:pPr>
              <w:jc w:val="center"/>
              <w:rPr>
                <w:rFonts w:eastAsia="仿宋_GB2312"/>
                <w:color w:val="000000" w:themeColor="text1"/>
                <w:sz w:val="24"/>
                <w14:textFill>
                  <w14:solidFill>
                    <w14:schemeClr w14:val="tx1"/>
                  </w14:solidFill>
                </w14:textFill>
              </w:rPr>
            </w:pPr>
          </w:p>
        </w:tc>
        <w:tc>
          <w:tcPr>
            <w:tcW w:w="1480"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281" w:type="dxa"/>
            <w:gridSpan w:val="4"/>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稳定工作</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关系人数</w:t>
            </w:r>
          </w:p>
        </w:tc>
        <w:tc>
          <w:tcPr>
            <w:tcW w:w="2142" w:type="dxa"/>
            <w:gridSpan w:val="2"/>
            <w:vAlign w:val="center"/>
          </w:tcPr>
          <w:p>
            <w:pPr>
              <w:jc w:val="center"/>
              <w:rPr>
                <w:rFonts w:eastAsia="仿宋_GB2312"/>
                <w:color w:val="000000" w:themeColor="text1"/>
                <w:sz w:val="24"/>
                <w14:textFill>
                  <w14:solidFill>
                    <w14:schemeClr w14:val="tx1"/>
                  </w14:solidFill>
                </w14:textFill>
              </w:rPr>
            </w:pPr>
          </w:p>
        </w:tc>
        <w:tc>
          <w:tcPr>
            <w:tcW w:w="2646"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参加社会保险人数</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281" w:type="dxa"/>
            <w:gridSpan w:val="4"/>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核定床位数</w:t>
            </w:r>
          </w:p>
        </w:tc>
        <w:tc>
          <w:tcPr>
            <w:tcW w:w="2142" w:type="dxa"/>
            <w:gridSpan w:val="2"/>
            <w:vAlign w:val="center"/>
          </w:tcPr>
          <w:p>
            <w:pPr>
              <w:jc w:val="center"/>
              <w:rPr>
                <w:rFonts w:eastAsia="仿宋_GB2312"/>
                <w:color w:val="000000" w:themeColor="text1"/>
                <w:sz w:val="24"/>
                <w14:textFill>
                  <w14:solidFill>
                    <w14:schemeClr w14:val="tx1"/>
                  </w14:solidFill>
                </w14:textFill>
              </w:rPr>
            </w:pPr>
          </w:p>
        </w:tc>
        <w:tc>
          <w:tcPr>
            <w:tcW w:w="2646"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实际开放床位数</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281" w:type="dxa"/>
            <w:gridSpan w:val="4"/>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配备药品种数</w:t>
            </w:r>
          </w:p>
        </w:tc>
        <w:tc>
          <w:tcPr>
            <w:tcW w:w="2142" w:type="dxa"/>
            <w:gridSpan w:val="2"/>
            <w:vAlign w:val="center"/>
          </w:tcPr>
          <w:p>
            <w:pPr>
              <w:jc w:val="center"/>
              <w:rPr>
                <w:rFonts w:eastAsia="仿宋_GB2312"/>
                <w:color w:val="000000" w:themeColor="text1"/>
                <w:sz w:val="24"/>
                <w14:textFill>
                  <w14:solidFill>
                    <w14:schemeClr w14:val="tx1"/>
                  </w14:solidFill>
                </w14:textFill>
              </w:rPr>
            </w:pPr>
          </w:p>
        </w:tc>
        <w:tc>
          <w:tcPr>
            <w:tcW w:w="2646"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其中医保</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药品种数</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281" w:type="dxa"/>
            <w:gridSpan w:val="4"/>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已开展医疗服务</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项目数</w:t>
            </w:r>
          </w:p>
        </w:tc>
        <w:tc>
          <w:tcPr>
            <w:tcW w:w="2142" w:type="dxa"/>
            <w:gridSpan w:val="2"/>
            <w:vAlign w:val="center"/>
          </w:tcPr>
          <w:p>
            <w:pPr>
              <w:jc w:val="center"/>
              <w:rPr>
                <w:rFonts w:eastAsia="仿宋_GB2312"/>
                <w:color w:val="000000" w:themeColor="text1"/>
                <w:sz w:val="24"/>
                <w14:textFill>
                  <w14:solidFill>
                    <w14:schemeClr w14:val="tx1"/>
                  </w14:solidFill>
                </w14:textFill>
              </w:rPr>
            </w:pPr>
          </w:p>
        </w:tc>
        <w:tc>
          <w:tcPr>
            <w:tcW w:w="2646"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其中医保范围内</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医疗服务项目数</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281" w:type="dxa"/>
            <w:gridSpan w:val="4"/>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50万元以上大型</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医用仪器设备数量</w:t>
            </w:r>
          </w:p>
        </w:tc>
        <w:tc>
          <w:tcPr>
            <w:tcW w:w="2142" w:type="dxa"/>
            <w:gridSpan w:val="2"/>
            <w:vAlign w:val="center"/>
          </w:tcPr>
          <w:p>
            <w:pPr>
              <w:jc w:val="center"/>
              <w:rPr>
                <w:rFonts w:eastAsia="仿宋_GB2312"/>
                <w:color w:val="000000" w:themeColor="text1"/>
                <w:sz w:val="24"/>
                <w14:textFill>
                  <w14:solidFill>
                    <w14:schemeClr w14:val="tx1"/>
                  </w14:solidFill>
                </w14:textFill>
              </w:rPr>
            </w:pPr>
          </w:p>
        </w:tc>
        <w:tc>
          <w:tcPr>
            <w:tcW w:w="2646"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50万元以上大型</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医用仪器设备名称</w:t>
            </w:r>
          </w:p>
        </w:tc>
        <w:tc>
          <w:tcPr>
            <w:tcW w:w="1776"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281" w:type="dxa"/>
            <w:gridSpan w:val="4"/>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法定代表人、主要负责人或实际控制人有无严重失信行为</w:t>
            </w:r>
          </w:p>
        </w:tc>
        <w:tc>
          <w:tcPr>
            <w:tcW w:w="2142" w:type="dxa"/>
            <w:gridSpan w:val="2"/>
            <w:vAlign w:val="center"/>
          </w:tcPr>
          <w:p>
            <w:pPr>
              <w:jc w:val="center"/>
              <w:rPr>
                <w:rFonts w:eastAsia="仿宋_GB2312"/>
                <w:color w:val="000000" w:themeColor="text1"/>
                <w:sz w:val="24"/>
                <w14:textFill>
                  <w14:solidFill>
                    <w14:schemeClr w14:val="tx1"/>
                  </w14:solidFill>
                </w14:textFill>
              </w:rPr>
            </w:pPr>
          </w:p>
        </w:tc>
        <w:tc>
          <w:tcPr>
            <w:tcW w:w="2646"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近一年内有无</w:t>
            </w:r>
          </w:p>
          <w:p>
            <w:pPr>
              <w:jc w:val="center"/>
              <w:rPr>
                <w:rFonts w:eastAsia="仿宋_GB2312"/>
                <w:color w:val="FF0000"/>
                <w:sz w:val="24"/>
              </w:rPr>
            </w:pPr>
            <w:r>
              <w:rPr>
                <w:rFonts w:hint="eastAsia" w:eastAsia="仿宋_GB2312"/>
                <w:color w:val="000000" w:themeColor="text1"/>
                <w:sz w:val="24"/>
                <w14:textFill>
                  <w14:solidFill>
                    <w14:schemeClr w14:val="tx1"/>
                  </w14:solidFill>
                </w14:textFill>
              </w:rPr>
              <w:t>行政处罚记录</w:t>
            </w:r>
          </w:p>
        </w:tc>
        <w:tc>
          <w:tcPr>
            <w:tcW w:w="1776" w:type="dxa"/>
            <w:gridSpan w:val="2"/>
            <w:vAlign w:val="center"/>
          </w:tcPr>
          <w:p>
            <w:pPr>
              <w:jc w:val="center"/>
              <w:rPr>
                <w:rFonts w:eastAsia="仿宋_GB2312"/>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7069" w:type="dxa"/>
            <w:gridSpan w:val="9"/>
            <w:vAlign w:val="center"/>
          </w:tcPr>
          <w:p>
            <w:pPr>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同一法人主体（投资主体）的相关定点医药机构，1年内有无因违规被暂停、解除或终止医保协议和正在接受经办机构调查处理等情况的</w:t>
            </w:r>
            <w:bookmarkStart w:id="0" w:name="_GoBack"/>
            <w:bookmarkEnd w:id="0"/>
            <w:r>
              <w:rPr>
                <w:rFonts w:eastAsia="仿宋_GB2312"/>
                <w:color w:val="000000" w:themeColor="text1"/>
                <w:sz w:val="24"/>
                <w14:textFill>
                  <w14:solidFill>
                    <w14:schemeClr w14:val="tx1"/>
                  </w14:solidFill>
                </w14:textFill>
              </w:rPr>
              <w:t>记录。</w:t>
            </w:r>
          </w:p>
        </w:tc>
        <w:tc>
          <w:tcPr>
            <w:tcW w:w="1776" w:type="dxa"/>
            <w:gridSpan w:val="2"/>
            <w:vAlign w:val="center"/>
          </w:tcPr>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1974"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是否已安装医疗</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结算监控设备</w:t>
            </w:r>
          </w:p>
        </w:tc>
        <w:tc>
          <w:tcPr>
            <w:tcW w:w="2449" w:type="dxa"/>
            <w:gridSpan w:val="3"/>
            <w:vAlign w:val="center"/>
          </w:tcPr>
          <w:p>
            <w:pPr>
              <w:jc w:val="center"/>
              <w:rPr>
                <w:rFonts w:eastAsia="仿宋_GB2312"/>
                <w:color w:val="000000" w:themeColor="text1"/>
                <w:sz w:val="24"/>
                <w14:textFill>
                  <w14:solidFill>
                    <w14:schemeClr w14:val="tx1"/>
                  </w14:solidFill>
                </w14:textFill>
              </w:rPr>
            </w:pPr>
          </w:p>
        </w:tc>
        <w:tc>
          <w:tcPr>
            <w:tcW w:w="2646"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是否承诺提供医疗</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结算监控信息</w:t>
            </w:r>
          </w:p>
        </w:tc>
        <w:tc>
          <w:tcPr>
            <w:tcW w:w="1776" w:type="dxa"/>
            <w:gridSpan w:val="2"/>
            <w:vAlign w:val="center"/>
          </w:tcPr>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880" w:hRule="atLeast"/>
          <w:jc w:val="center"/>
        </w:trPr>
        <w:tc>
          <w:tcPr>
            <w:tcW w:w="1475" w:type="dxa"/>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申请</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意见</w:t>
            </w:r>
          </w:p>
        </w:tc>
        <w:tc>
          <w:tcPr>
            <w:tcW w:w="7370" w:type="dxa"/>
            <w:gridSpan w:val="10"/>
            <w:vAlign w:val="center"/>
          </w:tcPr>
          <w:p>
            <w:pPr>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自愿承担</w:t>
            </w:r>
            <w:r>
              <w:rPr>
                <w:rFonts w:eastAsia="仿宋_GB2312"/>
                <w:color w:val="000000" w:themeColor="text1"/>
                <w:sz w:val="24"/>
                <w:u w:val="single"/>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县（市</w:t>
            </w:r>
            <w:r>
              <w:rPr>
                <w:rFonts w:eastAsia="仿宋_GB2312"/>
                <w:color w:val="000000" w:themeColor="text1"/>
                <w:sz w:val="24"/>
                <w14:textFill>
                  <w14:solidFill>
                    <w14:schemeClr w14:val="tx1"/>
                  </w14:solidFill>
                </w14:textFill>
              </w:rPr>
              <w:t>、区</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医疗保障服务，申请成为医疗保障定点医疗机构，并承诺所填写的信息</w:t>
            </w:r>
            <w:r>
              <w:rPr>
                <w:rFonts w:hint="eastAsia" w:eastAsia="仿宋_GB2312"/>
                <w:color w:val="000000" w:themeColor="text1"/>
                <w:sz w:val="24"/>
                <w14:textFill>
                  <w14:solidFill>
                    <w14:schemeClr w14:val="tx1"/>
                  </w14:solidFill>
                </w14:textFill>
              </w:rPr>
              <w:t>和</w:t>
            </w:r>
            <w:r>
              <w:rPr>
                <w:rFonts w:eastAsia="仿宋_GB2312"/>
                <w:color w:val="000000" w:themeColor="text1"/>
                <w:sz w:val="24"/>
                <w14:textFill>
                  <w14:solidFill>
                    <w14:schemeClr w14:val="tx1"/>
                  </w14:solidFill>
                </w14:textFill>
              </w:rPr>
              <w:t>提供的相关材料真实有效。如与事实不符，将承担提供虚假材料所造成的一切后果。</w:t>
            </w:r>
          </w:p>
          <w:p>
            <w:pPr>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自愿按医保部门和医保经办机构要求安装实名制就医购药验证、实时监控等智能监管系统，并承诺签订医保协议后按要求提供省内异地、跨省异地联网结算服务。</w:t>
            </w:r>
          </w:p>
          <w:p>
            <w:pPr>
              <w:ind w:firstLine="2400" w:firstLineChars="1000"/>
              <w:jc w:val="center"/>
              <w:rPr>
                <w:rFonts w:eastAsia="仿宋_GB2312"/>
                <w:color w:val="000000" w:themeColor="text1"/>
                <w:sz w:val="24"/>
                <w14:textFill>
                  <w14:solidFill>
                    <w14:schemeClr w14:val="tx1"/>
                  </w14:solidFill>
                </w14:textFill>
              </w:rPr>
            </w:pPr>
          </w:p>
          <w:p>
            <w:pPr>
              <w:pStyle w:val="2"/>
            </w:pPr>
          </w:p>
          <w:p/>
          <w:p>
            <w:pPr>
              <w:ind w:firstLine="2400" w:firstLineChars="1000"/>
              <w:jc w:val="center"/>
              <w:rPr>
                <w:rFonts w:eastAsia="仿宋_GB2312"/>
                <w:color w:val="000000" w:themeColor="text1"/>
                <w:sz w:val="24"/>
                <w14:textFill>
                  <w14:solidFill>
                    <w14:schemeClr w14:val="tx1"/>
                  </w14:solidFill>
                </w14:textFill>
              </w:rPr>
            </w:pPr>
          </w:p>
          <w:p>
            <w:pPr>
              <w:ind w:firstLine="2400" w:firstLineChars="1000"/>
              <w:jc w:val="center"/>
              <w:rPr>
                <w:rFonts w:eastAsia="仿宋_GB2312"/>
                <w:color w:val="000000" w:themeColor="text1"/>
                <w:sz w:val="24"/>
                <w14:textFill>
                  <w14:solidFill>
                    <w14:schemeClr w14:val="tx1"/>
                  </w14:solidFill>
                </w14:textFill>
              </w:rPr>
            </w:pPr>
          </w:p>
          <w:p>
            <w:pPr>
              <w:ind w:firstLine="2400" w:firstLineChars="1000"/>
              <w:jc w:val="center"/>
              <w:rPr>
                <w:rFonts w:eastAsia="仿宋_GB2312"/>
                <w:color w:val="000000" w:themeColor="text1"/>
                <w:sz w:val="24"/>
                <w14:textFill>
                  <w14:solidFill>
                    <w14:schemeClr w14:val="tx1"/>
                  </w14:solidFill>
                </w14:textFill>
              </w:rPr>
            </w:pPr>
          </w:p>
          <w:p>
            <w:pPr>
              <w:ind w:firstLine="2400" w:firstLineChars="100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法定代表人签字：</w:t>
            </w:r>
          </w:p>
          <w:p>
            <w:pPr>
              <w:ind w:firstLine="4080" w:firstLineChars="17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单位（盖章）</w:t>
            </w:r>
          </w:p>
          <w:p>
            <w:pPr>
              <w:ind w:firstLine="4080" w:firstLineChars="17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年  月  日</w:t>
            </w:r>
          </w:p>
          <w:p>
            <w:pPr>
              <w:ind w:firstLine="4080" w:firstLineChars="1700"/>
              <w:rPr>
                <w:rFonts w:eastAsia="仿宋_GB2312"/>
                <w:color w:val="000000" w:themeColor="text1"/>
                <w:sz w:val="24"/>
                <w14:textFill>
                  <w14:solidFill>
                    <w14:schemeClr w14:val="tx1"/>
                  </w14:solidFill>
                </w14:textFill>
              </w:rPr>
            </w:pPr>
          </w:p>
          <w:p>
            <w:pPr>
              <w:ind w:firstLine="4080" w:firstLineChars="1700"/>
              <w:rPr>
                <w:rFonts w:eastAsia="仿宋_GB2312"/>
                <w:color w:val="000000" w:themeColor="text1"/>
                <w:sz w:val="24"/>
                <w14:textFill>
                  <w14:solidFill>
                    <w14:schemeClr w14:val="tx1"/>
                  </w14:solidFill>
                </w14:textFill>
              </w:rPr>
            </w:pPr>
          </w:p>
        </w:tc>
      </w:tr>
    </w:tbl>
    <w:p>
      <w:pPr>
        <w:pStyle w:val="5"/>
        <w:overflowPunct w:val="0"/>
        <w:adjustRightInd w:val="0"/>
        <w:snapToGrid w:val="0"/>
        <w:spacing w:line="590" w:lineRule="exact"/>
        <w:jc w:val="both"/>
        <w:rPr>
          <w:rFonts w:ascii="Times New Roman" w:hAnsi="Times New Roman" w:eastAsia="黑体"/>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附</w:t>
      </w:r>
      <w:r>
        <w:rPr>
          <w:rFonts w:hint="eastAsia" w:ascii="Times New Roman" w:hAnsi="黑体" w:eastAsia="黑体"/>
          <w:color w:val="000000" w:themeColor="text1"/>
          <w:sz w:val="32"/>
          <w:szCs w:val="32"/>
          <w14:textFill>
            <w14:solidFill>
              <w14:schemeClr w14:val="tx1"/>
            </w14:solidFill>
          </w14:textFill>
        </w:rPr>
        <w:t>表</w:t>
      </w:r>
      <w:r>
        <w:rPr>
          <w:rFonts w:ascii="Times New Roman" w:hAnsi="Times New Roman" w:eastAsia="黑体"/>
          <w:color w:val="000000" w:themeColor="text1"/>
          <w:sz w:val="32"/>
          <w:szCs w:val="32"/>
          <w14:textFill>
            <w14:solidFill>
              <w14:schemeClr w14:val="tx1"/>
            </w14:solidFill>
          </w14:textFill>
        </w:rPr>
        <w:t>2</w:t>
      </w:r>
    </w:p>
    <w:p>
      <w:pPr>
        <w:widowControl/>
        <w:adjustRightInd w:val="0"/>
        <w:snapToGrid w:val="0"/>
        <w:spacing w:after="200"/>
        <w:jc w:val="center"/>
        <w:rPr>
          <w:rFonts w:ascii="小标宋" w:hAnsi="Tahoma" w:eastAsia="小标宋"/>
          <w:color w:val="000000" w:themeColor="text1"/>
          <w:kern w:val="0"/>
          <w:sz w:val="52"/>
          <w:szCs w:val="52"/>
          <w:u w:val="single"/>
          <w14:textFill>
            <w14:solidFill>
              <w14:schemeClr w14:val="tx1"/>
            </w14:solidFill>
          </w14:textFill>
        </w:rPr>
      </w:pPr>
    </w:p>
    <w:p>
      <w:pPr>
        <w:widowControl/>
        <w:adjustRightInd w:val="0"/>
        <w:snapToGrid w:val="0"/>
        <w:spacing w:after="200"/>
        <w:jc w:val="center"/>
        <w:rPr>
          <w:rFonts w:ascii="小标宋" w:hAnsi="Tahoma" w:eastAsia="小标宋"/>
          <w:color w:val="000000" w:themeColor="text1"/>
          <w:kern w:val="0"/>
          <w:sz w:val="52"/>
          <w:szCs w:val="52"/>
          <w:u w:val="single"/>
          <w14:textFill>
            <w14:solidFill>
              <w14:schemeClr w14:val="tx1"/>
            </w14:solidFill>
          </w14:textFill>
        </w:rPr>
      </w:pPr>
    </w:p>
    <w:p>
      <w:pPr>
        <w:widowControl/>
        <w:adjustRightInd w:val="0"/>
        <w:snapToGrid w:val="0"/>
        <w:spacing w:after="200"/>
        <w:jc w:val="center"/>
        <w:rPr>
          <w:rFonts w:ascii="小标宋" w:hAnsi="Tahoma" w:eastAsia="小标宋"/>
          <w:color w:val="000000" w:themeColor="text1"/>
          <w:kern w:val="0"/>
          <w:sz w:val="52"/>
          <w:szCs w:val="52"/>
          <w:u w:val="single"/>
          <w14:textFill>
            <w14:solidFill>
              <w14:schemeClr w14:val="tx1"/>
            </w14:solidFill>
          </w14:textFill>
        </w:rPr>
      </w:pPr>
    </w:p>
    <w:p>
      <w:pPr>
        <w:widowControl/>
        <w:adjustRightInd w:val="0"/>
        <w:snapToGrid w:val="0"/>
        <w:spacing w:after="200"/>
        <w:jc w:val="center"/>
        <w:rPr>
          <w:rFonts w:ascii="方正小标宋_GBK" w:hAnsi="方正小标宋_GBK" w:eastAsia="方正小标宋_GBK" w:cs="方正小标宋_GBK"/>
          <w:bCs/>
          <w:color w:val="000000" w:themeColor="text1"/>
          <w:kern w:val="0"/>
          <w:sz w:val="52"/>
          <w:szCs w:val="52"/>
          <w14:textFill>
            <w14:solidFill>
              <w14:schemeClr w14:val="tx1"/>
            </w14:solidFill>
          </w14:textFill>
        </w:rPr>
      </w:pPr>
      <w:r>
        <w:rPr>
          <w:rFonts w:hint="eastAsia" w:ascii="方正小标宋_GBK" w:hAnsi="方正小标宋_GBK" w:eastAsia="方正小标宋_GBK" w:cs="方正小标宋_GBK"/>
          <w:bCs/>
          <w:color w:val="000000" w:themeColor="text1"/>
          <w:kern w:val="0"/>
          <w:sz w:val="52"/>
          <w:szCs w:val="52"/>
          <w14:textFill>
            <w14:solidFill>
              <w14:schemeClr w14:val="tx1"/>
            </w14:solidFill>
          </w14:textFill>
        </w:rPr>
        <w:t>台州市医疗保障</w:t>
      </w:r>
    </w:p>
    <w:p>
      <w:pPr>
        <w:widowControl/>
        <w:adjustRightInd w:val="0"/>
        <w:snapToGrid w:val="0"/>
        <w:spacing w:after="200"/>
        <w:jc w:val="center"/>
        <w:rPr>
          <w:rFonts w:ascii="方正小标宋_GBK" w:hAnsi="方正小标宋_GBK" w:eastAsia="方正小标宋_GBK" w:cs="方正小标宋_GBK"/>
          <w:bCs/>
          <w:color w:val="000000" w:themeColor="text1"/>
          <w:kern w:val="0"/>
          <w:sz w:val="22"/>
          <w:szCs w:val="22"/>
          <w14:textFill>
            <w14:solidFill>
              <w14:schemeClr w14:val="tx1"/>
            </w14:solidFill>
          </w14:textFill>
        </w:rPr>
      </w:pPr>
      <w:r>
        <w:rPr>
          <w:rFonts w:hint="eastAsia" w:ascii="方正小标宋_GBK" w:hAnsi="方正小标宋_GBK" w:eastAsia="方正小标宋_GBK" w:cs="方正小标宋_GBK"/>
          <w:bCs/>
          <w:color w:val="000000" w:themeColor="text1"/>
          <w:kern w:val="0"/>
          <w:sz w:val="52"/>
          <w:szCs w:val="52"/>
          <w14:textFill>
            <w14:solidFill>
              <w14:schemeClr w14:val="tx1"/>
            </w14:solidFill>
          </w14:textFill>
        </w:rPr>
        <w:t>定点零售药店申请表</w:t>
      </w: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p>
    <w:p>
      <w:pPr>
        <w:widowControl/>
        <w:adjustRightInd w:val="0"/>
        <w:snapToGrid w:val="0"/>
        <w:spacing w:after="200"/>
        <w:jc w:val="center"/>
        <w:rPr>
          <w:rFonts w:ascii="Tahoma" w:hAnsi="Tahoma" w:eastAsia="微软雅黑"/>
          <w:color w:val="000000" w:themeColor="text1"/>
          <w:kern w:val="0"/>
          <w:sz w:val="44"/>
          <w:szCs w:val="44"/>
          <w14:textFill>
            <w14:solidFill>
              <w14:schemeClr w14:val="tx1"/>
            </w14:solidFill>
          </w14:textFill>
        </w:rPr>
      </w:pPr>
    </w:p>
    <w:p>
      <w:pPr>
        <w:widowControl/>
        <w:adjustRightInd w:val="0"/>
        <w:snapToGrid w:val="0"/>
        <w:spacing w:after="200"/>
        <w:jc w:val="center"/>
        <w:rPr>
          <w:rFonts w:ascii="Tahoma" w:hAnsi="Tahoma" w:eastAsia="微软雅黑"/>
          <w:color w:val="000000" w:themeColor="text1"/>
          <w:kern w:val="0"/>
          <w:sz w:val="44"/>
          <w:szCs w:val="44"/>
          <w14:textFill>
            <w14:solidFill>
              <w14:schemeClr w14:val="tx1"/>
            </w14:solidFill>
          </w14:textFill>
        </w:rPr>
      </w:pPr>
    </w:p>
    <w:p>
      <w:pPr>
        <w:widowControl/>
        <w:adjustRightInd w:val="0"/>
        <w:snapToGrid w:val="0"/>
        <w:spacing w:after="200"/>
        <w:jc w:val="center"/>
        <w:rPr>
          <w:rFonts w:ascii="黑体" w:hAnsi="Tahoma" w:eastAsia="黑体"/>
          <w:color w:val="000000" w:themeColor="text1"/>
          <w:kern w:val="0"/>
          <w:sz w:val="32"/>
          <w:szCs w:val="32"/>
          <w:u w:val="thick"/>
          <w14:textFill>
            <w14:solidFill>
              <w14:schemeClr w14:val="tx1"/>
            </w14:solidFill>
          </w14:textFill>
        </w:rPr>
      </w:pPr>
      <w:r>
        <w:rPr>
          <w:rFonts w:hint="eastAsia" w:ascii="仿宋_GB2312" w:hAnsi="Tahoma" w:eastAsia="仿宋_GB2312"/>
          <w:color w:val="000000" w:themeColor="text1"/>
          <w:kern w:val="0"/>
          <w:sz w:val="32"/>
          <w:szCs w:val="32"/>
          <w14:textFill>
            <w14:solidFill>
              <w14:schemeClr w14:val="tx1"/>
            </w14:solidFill>
          </w14:textFill>
        </w:rPr>
        <w:t>申请单位</w:t>
      </w:r>
      <w:r>
        <w:rPr>
          <w:rFonts w:hint="eastAsia" w:ascii="黑体" w:hAnsi="Tahoma" w:eastAsia="黑体"/>
          <w:color w:val="000000" w:themeColor="text1"/>
          <w:kern w:val="0"/>
          <w:sz w:val="32"/>
          <w:szCs w:val="32"/>
          <w14:textFill>
            <w14:solidFill>
              <w14:schemeClr w14:val="tx1"/>
            </w14:solidFill>
          </w14:textFill>
        </w:rPr>
        <w:t>___________________</w:t>
      </w:r>
    </w:p>
    <w:p>
      <w:pPr>
        <w:widowControl/>
        <w:adjustRightInd w:val="0"/>
        <w:snapToGrid w:val="0"/>
        <w:spacing w:after="200"/>
        <w:ind w:firstLine="480" w:firstLineChars="150"/>
        <w:jc w:val="center"/>
        <w:rPr>
          <w:rFonts w:ascii="仿宋_GB2312" w:hAnsi="Tahoma" w:eastAsia="仿宋_GB2312"/>
          <w:color w:val="000000" w:themeColor="text1"/>
          <w:kern w:val="0"/>
          <w:sz w:val="32"/>
          <w:szCs w:val="32"/>
          <w14:textFill>
            <w14:solidFill>
              <w14:schemeClr w14:val="tx1"/>
            </w14:solidFill>
          </w14:textFill>
        </w:rPr>
      </w:pPr>
    </w:p>
    <w:p>
      <w:pPr>
        <w:widowControl/>
        <w:adjustRightInd w:val="0"/>
        <w:snapToGrid w:val="0"/>
        <w:spacing w:after="200"/>
        <w:jc w:val="center"/>
        <w:rPr>
          <w:rFonts w:ascii="黑体" w:hAnsi="Tahoma" w:eastAsia="黑体"/>
          <w:color w:val="000000" w:themeColor="text1"/>
          <w:kern w:val="0"/>
          <w:sz w:val="32"/>
          <w:szCs w:val="32"/>
          <w:u w:val="thick"/>
          <w14:textFill>
            <w14:solidFill>
              <w14:schemeClr w14:val="tx1"/>
            </w14:solidFill>
          </w14:textFill>
        </w:rPr>
      </w:pPr>
      <w:r>
        <w:rPr>
          <w:rFonts w:hint="eastAsia" w:ascii="仿宋_GB2312" w:hAnsi="Tahoma" w:eastAsia="仿宋_GB2312"/>
          <w:color w:val="000000" w:themeColor="text1"/>
          <w:kern w:val="0"/>
          <w:sz w:val="32"/>
          <w:szCs w:val="32"/>
          <w14:textFill>
            <w14:solidFill>
              <w14:schemeClr w14:val="tx1"/>
            </w14:solidFill>
          </w14:textFill>
        </w:rPr>
        <w:t>申请时间</w:t>
      </w:r>
      <w:r>
        <w:rPr>
          <w:rFonts w:hint="eastAsia" w:ascii="黑体" w:hAnsi="Tahoma" w:eastAsia="黑体"/>
          <w:color w:val="000000" w:themeColor="text1"/>
          <w:kern w:val="0"/>
          <w:sz w:val="32"/>
          <w:szCs w:val="32"/>
          <w14:textFill>
            <w14:solidFill>
              <w14:schemeClr w14:val="tx1"/>
            </w14:solidFill>
          </w14:textFill>
        </w:rPr>
        <w:t>___________________</w:t>
      </w: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p>
    <w:p>
      <w:pPr>
        <w:widowControl/>
        <w:adjustRightInd w:val="0"/>
        <w:snapToGrid w:val="0"/>
        <w:spacing w:after="200"/>
        <w:jc w:val="center"/>
        <w:rPr>
          <w:rFonts w:ascii="Tahoma" w:hAnsi="Tahoma" w:eastAsia="微软雅黑"/>
          <w:color w:val="000000" w:themeColor="text1"/>
          <w:kern w:val="0"/>
          <w:sz w:val="22"/>
          <w:szCs w:val="22"/>
          <w14:textFill>
            <w14:solidFill>
              <w14:schemeClr w14:val="tx1"/>
            </w14:solidFill>
          </w14:textFill>
        </w:rPr>
      </w:pPr>
    </w:p>
    <w:p>
      <w:pPr>
        <w:widowControl/>
        <w:adjustRightInd w:val="0"/>
        <w:snapToGrid w:val="0"/>
        <w:spacing w:line="590" w:lineRule="exact"/>
        <w:jc w:val="center"/>
        <w:rPr>
          <w:rFonts w:ascii="方正小标宋简体" w:hAnsi="黑体" w:eastAsia="方正小标宋简体"/>
          <w:color w:val="000000" w:themeColor="text1"/>
          <w:kern w:val="0"/>
          <w:sz w:val="44"/>
          <w:szCs w:val="44"/>
          <w14:textFill>
            <w14:solidFill>
              <w14:schemeClr w14:val="tx1"/>
            </w14:solidFill>
          </w14:textFill>
        </w:rPr>
      </w:pPr>
      <w:r>
        <w:rPr>
          <w:rFonts w:ascii="Tahoma" w:hAnsi="Tahoma" w:eastAsia="微软雅黑"/>
          <w:color w:val="000000" w:themeColor="text1"/>
          <w:kern w:val="0"/>
          <w:sz w:val="22"/>
          <w:szCs w:val="22"/>
          <w14:textFill>
            <w14:solidFill>
              <w14:schemeClr w14:val="tx1"/>
            </w14:solidFill>
          </w14:textFill>
        </w:rPr>
        <w:br w:type="column"/>
      </w:r>
    </w:p>
    <w:p>
      <w:pPr>
        <w:widowControl/>
        <w:adjustRightInd w:val="0"/>
        <w:snapToGrid w:val="0"/>
        <w:spacing w:line="590" w:lineRule="exact"/>
        <w:jc w:val="center"/>
        <w:rPr>
          <w:rFonts w:ascii="方正小标宋简体" w:hAnsi="黑体" w:eastAsia="方正小标宋简体"/>
          <w:color w:val="000000" w:themeColor="text1"/>
          <w:kern w:val="0"/>
          <w:sz w:val="44"/>
          <w:szCs w:val="44"/>
          <w14:textFill>
            <w14:solidFill>
              <w14:schemeClr w14:val="tx1"/>
            </w14:solidFill>
          </w14:textFill>
        </w:rPr>
      </w:pPr>
    </w:p>
    <w:p>
      <w:pPr>
        <w:widowControl/>
        <w:adjustRightInd w:val="0"/>
        <w:snapToGrid w:val="0"/>
        <w:spacing w:line="590" w:lineRule="exact"/>
        <w:jc w:val="center"/>
        <w:rPr>
          <w:rFonts w:ascii="方正小标宋简体" w:hAnsi="黑体" w:eastAsia="方正小标宋简体"/>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t>填  写  说  明</w:t>
      </w:r>
    </w:p>
    <w:p>
      <w:pPr>
        <w:widowControl/>
        <w:adjustRightInd w:val="0"/>
        <w:snapToGrid w:val="0"/>
        <w:spacing w:line="590" w:lineRule="exact"/>
        <w:jc w:val="center"/>
        <w:rPr>
          <w:rFonts w:ascii="方正小标宋简体" w:hAnsi="黑体" w:eastAsia="方正小标宋简体"/>
          <w:color w:val="000000" w:themeColor="text1"/>
          <w:kern w:val="0"/>
          <w:sz w:val="44"/>
          <w:szCs w:val="44"/>
          <w14:textFill>
            <w14:solidFill>
              <w14:schemeClr w14:val="tx1"/>
            </w14:solidFill>
          </w14:textFill>
        </w:rPr>
      </w:pPr>
    </w:p>
    <w:p>
      <w:pPr>
        <w:widowControl/>
        <w:adjustRightInd w:val="0"/>
        <w:snapToGrid w:val="0"/>
        <w:spacing w:line="590" w:lineRule="exact"/>
        <w:ind w:firstLine="560" w:firstLineChars="200"/>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一、该表填写内容可打印也可用蓝色或黑色水笔填写，要求字迹工整清楚，内容真实。</w:t>
      </w:r>
    </w:p>
    <w:p>
      <w:pPr>
        <w:widowControl/>
        <w:adjustRightInd w:val="0"/>
        <w:snapToGrid w:val="0"/>
        <w:spacing w:line="590" w:lineRule="exact"/>
        <w:ind w:firstLine="560" w:firstLineChars="200"/>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二、符合医保定点条件并愿意承担医保服务的零售药店，可在规定时间内向所在辖区医保经办机构提出申请，填写《</w:t>
      </w:r>
      <w:r>
        <w:rPr>
          <w:rFonts w:hint="eastAsia" w:eastAsia="仿宋_GB2312"/>
          <w:color w:val="000000" w:themeColor="text1"/>
          <w:kern w:val="0"/>
          <w:sz w:val="28"/>
          <w:szCs w:val="28"/>
          <w14:textFill>
            <w14:solidFill>
              <w14:schemeClr w14:val="tx1"/>
            </w14:solidFill>
          </w14:textFill>
        </w:rPr>
        <w:t>台州</w:t>
      </w:r>
      <w:r>
        <w:rPr>
          <w:rFonts w:eastAsia="仿宋_GB2312"/>
          <w:color w:val="000000" w:themeColor="text1"/>
          <w:kern w:val="0"/>
          <w:sz w:val="28"/>
          <w:szCs w:val="28"/>
          <w14:textFill>
            <w14:solidFill>
              <w14:schemeClr w14:val="tx1"/>
            </w14:solidFill>
          </w14:textFill>
        </w:rPr>
        <w:t>市医疗保障定点零售药店申请表》</w:t>
      </w:r>
      <w:r>
        <w:rPr>
          <w:rFonts w:hint="eastAsia" w:eastAsia="仿宋_GB2312"/>
          <w:color w:val="000000" w:themeColor="text1"/>
          <w:kern w:val="0"/>
          <w:sz w:val="28"/>
          <w:szCs w:val="28"/>
          <w14:textFill>
            <w14:solidFill>
              <w14:schemeClr w14:val="tx1"/>
            </w14:solidFill>
          </w14:textFill>
        </w:rPr>
        <w:t>和</w:t>
      </w:r>
      <w:r>
        <w:rPr>
          <w:rFonts w:eastAsia="仿宋_GB2312"/>
          <w:color w:val="000000" w:themeColor="text1"/>
          <w:kern w:val="0"/>
          <w:sz w:val="28"/>
          <w:szCs w:val="28"/>
          <w14:textFill>
            <w14:solidFill>
              <w14:schemeClr w14:val="tx1"/>
            </w14:solidFill>
          </w14:textFill>
        </w:rPr>
        <w:t>《</w:t>
      </w:r>
      <w:r>
        <w:rPr>
          <w:rFonts w:hint="eastAsia" w:eastAsia="仿宋_GB2312"/>
          <w:color w:val="000000" w:themeColor="text1"/>
          <w:kern w:val="0"/>
          <w:sz w:val="28"/>
          <w:szCs w:val="28"/>
          <w14:textFill>
            <w14:solidFill>
              <w14:schemeClr w14:val="tx1"/>
            </w14:solidFill>
          </w14:textFill>
        </w:rPr>
        <w:t>台州市医疗保障定点零售药店评估表</w:t>
      </w:r>
      <w:r>
        <w:rPr>
          <w:rFonts w:eastAsia="仿宋_GB2312"/>
          <w:color w:val="000000" w:themeColor="text1"/>
          <w:kern w:val="0"/>
          <w:sz w:val="28"/>
          <w:szCs w:val="28"/>
          <w14:textFill>
            <w14:solidFill>
              <w14:schemeClr w14:val="tx1"/>
            </w14:solidFill>
          </w14:textFill>
        </w:rPr>
        <w:t>》，并提供以下材料：</w:t>
      </w:r>
    </w:p>
    <w:p>
      <w:pPr>
        <w:widowControl/>
        <w:adjustRightInd w:val="0"/>
        <w:snapToGrid w:val="0"/>
        <w:spacing w:line="590" w:lineRule="exact"/>
        <w:ind w:firstLine="700" w:firstLineChars="250"/>
        <w:jc w:val="left"/>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1</w:t>
      </w:r>
      <w:r>
        <w:rPr>
          <w:rFonts w:hint="eastAsia" w:ascii="Times New Roman" w:hAnsi="黑体" w:eastAsia="黑体" w:cs="Times New Roman"/>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药品经营许可证、营业执照和法定代表人、主要负责人或实际控制人身份证复印件；</w:t>
      </w:r>
    </w:p>
    <w:p>
      <w:pPr>
        <w:widowControl/>
        <w:adjustRightInd w:val="0"/>
        <w:snapToGrid w:val="0"/>
        <w:spacing w:line="590" w:lineRule="exact"/>
        <w:ind w:firstLine="700" w:firstLineChars="250"/>
        <w:jc w:val="left"/>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2</w:t>
      </w:r>
      <w:r>
        <w:rPr>
          <w:rFonts w:hint="eastAsia" w:ascii="Times New Roman" w:hAnsi="黑体" w:eastAsia="黑体" w:cs="Times New Roman"/>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执业药师资格证书或药学技术人员相关证书及其劳动合同复印件；</w:t>
      </w:r>
    </w:p>
    <w:p>
      <w:pPr>
        <w:widowControl/>
        <w:adjustRightInd w:val="0"/>
        <w:snapToGrid w:val="0"/>
        <w:spacing w:line="590" w:lineRule="exact"/>
        <w:ind w:firstLine="700" w:firstLineChars="250"/>
        <w:jc w:val="left"/>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3</w:t>
      </w:r>
      <w:r>
        <w:rPr>
          <w:rFonts w:hint="eastAsia" w:ascii="Times New Roman" w:hAnsi="黑体" w:eastAsia="黑体" w:cs="Times New Roman"/>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医保专（兼）职管理人员的劳动合同复印件；</w:t>
      </w:r>
    </w:p>
    <w:p>
      <w:pPr>
        <w:widowControl/>
        <w:adjustRightInd w:val="0"/>
        <w:snapToGrid w:val="0"/>
        <w:spacing w:line="590" w:lineRule="exact"/>
        <w:ind w:firstLine="700" w:firstLineChars="250"/>
        <w:jc w:val="left"/>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4</w:t>
      </w:r>
      <w:r>
        <w:rPr>
          <w:rFonts w:hint="eastAsia" w:ascii="Times New Roman" w:hAnsi="黑体" w:eastAsia="黑体" w:cs="Times New Roman"/>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与医疗保障政策对应的内部管理制度和财务制度文本；</w:t>
      </w:r>
    </w:p>
    <w:p>
      <w:pPr>
        <w:widowControl/>
        <w:adjustRightInd w:val="0"/>
        <w:snapToGrid w:val="0"/>
        <w:spacing w:line="590" w:lineRule="exact"/>
        <w:ind w:firstLine="700" w:firstLineChars="250"/>
        <w:jc w:val="left"/>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5</w:t>
      </w:r>
      <w:r>
        <w:rPr>
          <w:rFonts w:hint="eastAsia" w:eastAsia="仿宋_GB2312"/>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与医保有关的信息系统相关材料；</w:t>
      </w:r>
    </w:p>
    <w:p>
      <w:pPr>
        <w:widowControl/>
        <w:adjustRightInd w:val="0"/>
        <w:snapToGrid w:val="0"/>
        <w:spacing w:line="590" w:lineRule="exact"/>
        <w:ind w:firstLine="700" w:firstLineChars="250"/>
        <w:jc w:val="left"/>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6</w:t>
      </w:r>
      <w:r>
        <w:rPr>
          <w:rFonts w:hint="eastAsia" w:eastAsia="仿宋_GB2312"/>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纳入定点后使用医疗保障基金的预测性分析报告；</w:t>
      </w:r>
    </w:p>
    <w:p>
      <w:pPr>
        <w:widowControl/>
        <w:adjustRightInd w:val="0"/>
        <w:snapToGrid w:val="0"/>
        <w:spacing w:line="590" w:lineRule="exact"/>
        <w:ind w:firstLine="700" w:firstLineChars="250"/>
        <w:jc w:val="left"/>
        <w:rPr>
          <w:rFonts w:eastAsia="仿宋_GB2312"/>
          <w:color w:val="000000" w:themeColor="text1"/>
          <w:kern w:val="0"/>
          <w:sz w:val="28"/>
          <w:szCs w:val="28"/>
          <w14:textFill>
            <w14:solidFill>
              <w14:schemeClr w14:val="tx1"/>
            </w14:solidFill>
          </w14:textFill>
        </w:rPr>
      </w:pPr>
      <w:r>
        <w:rPr>
          <w:rFonts w:ascii="Times New Roman" w:hAnsi="黑体" w:eastAsia="黑体" w:cs="Times New Roman"/>
          <w:color w:val="000000" w:themeColor="text1"/>
          <w:kern w:val="0"/>
          <w:sz w:val="28"/>
          <w:szCs w:val="28"/>
          <w14:textFill>
            <w14:solidFill>
              <w14:schemeClr w14:val="tx1"/>
            </w14:solidFill>
          </w14:textFill>
        </w:rPr>
        <w:t>7</w:t>
      </w:r>
      <w:r>
        <w:rPr>
          <w:rFonts w:hint="eastAsia" w:eastAsia="仿宋_GB2312"/>
          <w:color w:val="000000" w:themeColor="text1"/>
          <w:kern w:val="0"/>
          <w:sz w:val="28"/>
          <w:szCs w:val="28"/>
          <w14:textFill>
            <w14:solidFill>
              <w14:schemeClr w14:val="tx1"/>
            </w14:solidFill>
          </w14:textFill>
        </w:rPr>
        <w:t>．</w:t>
      </w:r>
      <w:r>
        <w:rPr>
          <w:rFonts w:eastAsia="仿宋_GB2312"/>
          <w:color w:val="000000" w:themeColor="text1"/>
          <w:kern w:val="0"/>
          <w:sz w:val="28"/>
          <w:szCs w:val="28"/>
          <w14:textFill>
            <w14:solidFill>
              <w14:schemeClr w14:val="tx1"/>
            </w14:solidFill>
          </w14:textFill>
        </w:rPr>
        <w:t>按相关规定要求提供的其他材料。</w:t>
      </w:r>
    </w:p>
    <w:p>
      <w:pPr>
        <w:widowControl/>
        <w:adjustRightInd w:val="0"/>
        <w:snapToGrid w:val="0"/>
        <w:spacing w:line="20" w:lineRule="exact"/>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br w:type="column"/>
      </w:r>
    </w:p>
    <w:tbl>
      <w:tblPr>
        <w:tblStyle w:val="6"/>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479"/>
        <w:gridCol w:w="855"/>
        <w:gridCol w:w="719"/>
        <w:gridCol w:w="256"/>
        <w:gridCol w:w="1160"/>
        <w:gridCol w:w="780"/>
        <w:gridCol w:w="915"/>
        <w:gridCol w:w="892"/>
        <w:gridCol w:w="821"/>
        <w:gridCol w:w="9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零售药店名称</w:t>
            </w:r>
          </w:p>
        </w:tc>
        <w:tc>
          <w:tcPr>
            <w:tcW w:w="2135" w:type="dxa"/>
            <w:gridSpan w:val="3"/>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法定代表人姓名</w:t>
            </w: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法定代表人</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身份证号码</w:t>
            </w:r>
          </w:p>
        </w:tc>
        <w:tc>
          <w:tcPr>
            <w:tcW w:w="2135" w:type="dxa"/>
            <w:gridSpan w:val="3"/>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法定代表人</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联系电话</w:t>
            </w: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经营方式</w:t>
            </w:r>
          </w:p>
        </w:tc>
        <w:tc>
          <w:tcPr>
            <w:tcW w:w="6511" w:type="dxa"/>
            <w:gridSpan w:val="8"/>
            <w:vAlign w:val="center"/>
          </w:tcPr>
          <w:p>
            <w:pPr>
              <w:ind w:firstLine="240" w:firstLineChars="1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连锁企业直营门店</w:t>
            </w:r>
          </w:p>
          <w:p>
            <w:pPr>
              <w:ind w:firstLine="240" w:firstLineChars="1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加盟店</w:t>
            </w:r>
          </w:p>
          <w:p>
            <w:pPr>
              <w:ind w:firstLine="240" w:firstLineChars="1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单体店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总店名称</w:t>
            </w:r>
          </w:p>
        </w:tc>
        <w:tc>
          <w:tcPr>
            <w:tcW w:w="6511" w:type="dxa"/>
            <w:gridSpan w:val="8"/>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开业时间</w:t>
            </w:r>
          </w:p>
        </w:tc>
        <w:tc>
          <w:tcPr>
            <w:tcW w:w="2135" w:type="dxa"/>
            <w:gridSpan w:val="3"/>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邮政编码</w:t>
            </w: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单位地址</w:t>
            </w:r>
          </w:p>
        </w:tc>
        <w:tc>
          <w:tcPr>
            <w:tcW w:w="6511" w:type="dxa"/>
            <w:gridSpan w:val="8"/>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药店用房性质</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（自有/租赁）</w:t>
            </w:r>
          </w:p>
        </w:tc>
        <w:tc>
          <w:tcPr>
            <w:tcW w:w="2135" w:type="dxa"/>
            <w:gridSpan w:val="3"/>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药店用房租赁合同</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剩余有效期限</w:t>
            </w: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Merge w:val="restart"/>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营业场所</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建筑面积</w:t>
            </w:r>
          </w:p>
        </w:tc>
        <w:tc>
          <w:tcPr>
            <w:tcW w:w="2135" w:type="dxa"/>
            <w:gridSpan w:val="3"/>
            <w:vMerge w:val="restart"/>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500米内有无其他</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定点零售药店</w:t>
            </w: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Merge w:val="continue"/>
            <w:vAlign w:val="center"/>
          </w:tcPr>
          <w:p>
            <w:pPr>
              <w:jc w:val="center"/>
              <w:rPr>
                <w:rFonts w:ascii="仿宋_GB2312" w:eastAsia="仿宋_GB2312"/>
                <w:color w:val="000000" w:themeColor="text1"/>
                <w:sz w:val="24"/>
                <w14:textFill>
                  <w14:solidFill>
                    <w14:schemeClr w14:val="tx1"/>
                  </w14:solidFill>
                </w14:textFill>
              </w:rPr>
            </w:pPr>
          </w:p>
        </w:tc>
        <w:tc>
          <w:tcPr>
            <w:tcW w:w="2135" w:type="dxa"/>
            <w:gridSpan w:val="3"/>
            <w:vMerge w:val="continue"/>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1000米内有无其他</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定点零售药店</w:t>
            </w: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单位经办人</w:t>
            </w:r>
          </w:p>
        </w:tc>
        <w:tc>
          <w:tcPr>
            <w:tcW w:w="2135" w:type="dxa"/>
            <w:gridSpan w:val="3"/>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联系电话</w:t>
            </w: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Merge w:val="restart"/>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药品经营许可证号</w:t>
            </w:r>
          </w:p>
        </w:tc>
        <w:tc>
          <w:tcPr>
            <w:tcW w:w="2135" w:type="dxa"/>
            <w:gridSpan w:val="3"/>
            <w:vMerge w:val="restart"/>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许可证取得时间</w:t>
            </w:r>
          </w:p>
        </w:tc>
        <w:tc>
          <w:tcPr>
            <w:tcW w:w="1789" w:type="dxa"/>
            <w:gridSpan w:val="2"/>
            <w:vMerge w:val="restart"/>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Merge w:val="continue"/>
            <w:vAlign w:val="center"/>
          </w:tcPr>
          <w:p>
            <w:pPr>
              <w:rPr>
                <w:rFonts w:ascii="仿宋_GB2312" w:eastAsia="仿宋_GB2312"/>
                <w:color w:val="000000" w:themeColor="text1"/>
                <w:sz w:val="24"/>
                <w14:textFill>
                  <w14:solidFill>
                    <w14:schemeClr w14:val="tx1"/>
                  </w14:solidFill>
                </w14:textFill>
              </w:rPr>
            </w:pPr>
          </w:p>
        </w:tc>
        <w:tc>
          <w:tcPr>
            <w:tcW w:w="2135" w:type="dxa"/>
            <w:gridSpan w:val="3"/>
            <w:vMerge w:val="continue"/>
            <w:vAlign w:val="center"/>
          </w:tcPr>
          <w:p>
            <w:pP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变更记录（近三年）</w:t>
            </w:r>
          </w:p>
        </w:tc>
        <w:tc>
          <w:tcPr>
            <w:tcW w:w="1789" w:type="dxa"/>
            <w:gridSpan w:val="2"/>
            <w:vMerge w:val="continue"/>
            <w:vAlign w:val="center"/>
          </w:tcPr>
          <w:p>
            <w:pP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统一社会信用代码</w:t>
            </w:r>
          </w:p>
        </w:tc>
        <w:tc>
          <w:tcPr>
            <w:tcW w:w="2135" w:type="dxa"/>
            <w:gridSpan w:val="3"/>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营业执照</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取得时间</w:t>
            </w: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是否已安装医药</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结算监控设备</w:t>
            </w:r>
          </w:p>
        </w:tc>
        <w:tc>
          <w:tcPr>
            <w:tcW w:w="2135" w:type="dxa"/>
            <w:gridSpan w:val="3"/>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是否承诺提供医药</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结算监控信息</w:t>
            </w: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3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经营药品是否有</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进、销、存台账</w:t>
            </w:r>
          </w:p>
        </w:tc>
        <w:tc>
          <w:tcPr>
            <w:tcW w:w="2135" w:type="dxa"/>
            <w:gridSpan w:val="3"/>
            <w:vAlign w:val="center"/>
          </w:tcPr>
          <w:p>
            <w:pPr>
              <w:jc w:val="center"/>
              <w:rPr>
                <w:rFonts w:ascii="仿宋_GB2312" w:eastAsia="仿宋_GB2312"/>
                <w:color w:val="000000" w:themeColor="text1"/>
                <w:sz w:val="24"/>
                <w14:textFill>
                  <w14:solidFill>
                    <w14:schemeClr w14:val="tx1"/>
                  </w14:solidFill>
                </w14:textFill>
              </w:rPr>
            </w:pPr>
          </w:p>
        </w:tc>
        <w:tc>
          <w:tcPr>
            <w:tcW w:w="2587" w:type="dxa"/>
            <w:gridSpan w:val="3"/>
            <w:vAlign w:val="center"/>
          </w:tcPr>
          <w:p>
            <w:pPr>
              <w:jc w:val="center"/>
              <w:rPr>
                <w:rFonts w:ascii="仿宋_GB2312" w:eastAsia="仿宋_GB2312"/>
                <w:color w:val="000000" w:themeColor="text1"/>
                <w:sz w:val="24"/>
                <w14:textFill>
                  <w14:solidFill>
                    <w14:schemeClr w14:val="tx1"/>
                  </w14:solidFill>
                </w14:textFill>
              </w:rPr>
            </w:pP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1479"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经营药品</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种数</w:t>
            </w:r>
          </w:p>
        </w:tc>
        <w:tc>
          <w:tcPr>
            <w:tcW w:w="855"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总数</w:t>
            </w:r>
          </w:p>
        </w:tc>
        <w:tc>
          <w:tcPr>
            <w:tcW w:w="975"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1160"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西药</w:t>
            </w:r>
          </w:p>
        </w:tc>
        <w:tc>
          <w:tcPr>
            <w:tcW w:w="780" w:type="dxa"/>
            <w:vAlign w:val="center"/>
          </w:tcPr>
          <w:p>
            <w:pPr>
              <w:jc w:val="center"/>
              <w:rPr>
                <w:rFonts w:ascii="仿宋_GB2312" w:eastAsia="仿宋_GB2312"/>
                <w:color w:val="000000" w:themeColor="text1"/>
                <w:sz w:val="24"/>
                <w14:textFill>
                  <w14:solidFill>
                    <w14:schemeClr w14:val="tx1"/>
                  </w14:solidFill>
                </w14:textFill>
              </w:rPr>
            </w:pPr>
          </w:p>
        </w:tc>
        <w:tc>
          <w:tcPr>
            <w:tcW w:w="915"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中成药</w:t>
            </w:r>
          </w:p>
        </w:tc>
        <w:tc>
          <w:tcPr>
            <w:tcW w:w="892" w:type="dxa"/>
            <w:vAlign w:val="center"/>
          </w:tcPr>
          <w:p>
            <w:pPr>
              <w:jc w:val="center"/>
              <w:rPr>
                <w:rFonts w:ascii="仿宋_GB2312" w:eastAsia="仿宋_GB2312"/>
                <w:color w:val="000000" w:themeColor="text1"/>
                <w:sz w:val="24"/>
                <w14:textFill>
                  <w14:solidFill>
                    <w14:schemeClr w14:val="tx1"/>
                  </w14:solidFill>
                </w14:textFill>
              </w:rPr>
            </w:pPr>
          </w:p>
        </w:tc>
        <w:tc>
          <w:tcPr>
            <w:tcW w:w="821"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中药</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饮片</w:t>
            </w:r>
          </w:p>
        </w:tc>
        <w:tc>
          <w:tcPr>
            <w:tcW w:w="968" w:type="dxa"/>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1479"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其中医保</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药品种数</w:t>
            </w:r>
          </w:p>
        </w:tc>
        <w:tc>
          <w:tcPr>
            <w:tcW w:w="855"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总数</w:t>
            </w:r>
          </w:p>
        </w:tc>
        <w:tc>
          <w:tcPr>
            <w:tcW w:w="975"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1160"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西药</w:t>
            </w:r>
          </w:p>
        </w:tc>
        <w:tc>
          <w:tcPr>
            <w:tcW w:w="780" w:type="dxa"/>
            <w:vAlign w:val="center"/>
          </w:tcPr>
          <w:p>
            <w:pPr>
              <w:jc w:val="center"/>
              <w:rPr>
                <w:rFonts w:ascii="仿宋_GB2312" w:eastAsia="仿宋_GB2312"/>
                <w:color w:val="000000" w:themeColor="text1"/>
                <w:sz w:val="24"/>
                <w14:textFill>
                  <w14:solidFill>
                    <w14:schemeClr w14:val="tx1"/>
                  </w14:solidFill>
                </w14:textFill>
              </w:rPr>
            </w:pPr>
          </w:p>
        </w:tc>
        <w:tc>
          <w:tcPr>
            <w:tcW w:w="915"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中成药</w:t>
            </w:r>
          </w:p>
        </w:tc>
        <w:tc>
          <w:tcPr>
            <w:tcW w:w="892" w:type="dxa"/>
            <w:vAlign w:val="center"/>
          </w:tcPr>
          <w:p>
            <w:pPr>
              <w:jc w:val="center"/>
              <w:rPr>
                <w:rFonts w:ascii="仿宋_GB2312" w:eastAsia="仿宋_GB2312"/>
                <w:color w:val="000000" w:themeColor="text1"/>
                <w:sz w:val="24"/>
                <w14:textFill>
                  <w14:solidFill>
                    <w14:schemeClr w14:val="tx1"/>
                  </w14:solidFill>
                </w14:textFill>
              </w:rPr>
            </w:pPr>
          </w:p>
        </w:tc>
        <w:tc>
          <w:tcPr>
            <w:tcW w:w="821"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中药</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饮片</w:t>
            </w:r>
          </w:p>
        </w:tc>
        <w:tc>
          <w:tcPr>
            <w:tcW w:w="968" w:type="dxa"/>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1479"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备注</w:t>
            </w:r>
          </w:p>
        </w:tc>
        <w:tc>
          <w:tcPr>
            <w:tcW w:w="7366" w:type="dxa"/>
            <w:gridSpan w:val="9"/>
            <w:vAlign w:val="center"/>
          </w:tcPr>
          <w:p>
            <w:pPr>
              <w:jc w:val="center"/>
              <w:rPr>
                <w:rFonts w:ascii="仿宋_GB2312" w:eastAsia="仿宋_GB2312"/>
                <w:color w:val="000000" w:themeColor="text1"/>
                <w:sz w:val="24"/>
                <w14:textFill>
                  <w14:solidFill>
                    <w14:schemeClr w14:val="tx1"/>
                  </w14:solidFill>
                </w14:textFill>
              </w:rPr>
            </w:pPr>
          </w:p>
          <w:p>
            <w:pPr>
              <w:jc w:val="center"/>
              <w:rPr>
                <w:rFonts w:ascii="仿宋_GB2312" w:eastAsia="仿宋_GB2312"/>
                <w:color w:val="000000" w:themeColor="text1"/>
                <w:sz w:val="24"/>
                <w14:textFill>
                  <w14:solidFill>
                    <w14:schemeClr w14:val="tx1"/>
                  </w14:solidFill>
                </w14:textFill>
              </w:rPr>
            </w:pPr>
          </w:p>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1479"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工作人员</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总数</w:t>
            </w:r>
          </w:p>
        </w:tc>
        <w:tc>
          <w:tcPr>
            <w:tcW w:w="157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注册执业药师</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（中药师）</w:t>
            </w:r>
          </w:p>
        </w:tc>
        <w:tc>
          <w:tcPr>
            <w:tcW w:w="1416"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药师</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（中药师）</w:t>
            </w:r>
          </w:p>
        </w:tc>
        <w:tc>
          <w:tcPr>
            <w:tcW w:w="1695"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从业药师</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（中药师）</w:t>
            </w:r>
          </w:p>
        </w:tc>
        <w:tc>
          <w:tcPr>
            <w:tcW w:w="892"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营业员</w:t>
            </w: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其他工作人员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1479" w:type="dxa"/>
            <w:vAlign w:val="center"/>
          </w:tcPr>
          <w:p>
            <w:pPr>
              <w:jc w:val="center"/>
              <w:rPr>
                <w:rFonts w:ascii="仿宋_GB2312" w:eastAsia="仿宋_GB2312"/>
                <w:color w:val="000000" w:themeColor="text1"/>
                <w:sz w:val="24"/>
                <w14:textFill>
                  <w14:solidFill>
                    <w14:schemeClr w14:val="tx1"/>
                  </w14:solidFill>
                </w14:textFill>
              </w:rPr>
            </w:pPr>
          </w:p>
        </w:tc>
        <w:tc>
          <w:tcPr>
            <w:tcW w:w="1574"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1416"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1695"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892" w:type="dxa"/>
            <w:vAlign w:val="center"/>
          </w:tcPr>
          <w:p>
            <w:pPr>
              <w:jc w:val="center"/>
              <w:rPr>
                <w:rFonts w:ascii="仿宋_GB2312" w:eastAsia="仿宋_GB2312"/>
                <w:color w:val="000000" w:themeColor="text1"/>
                <w:sz w:val="24"/>
                <w14:textFill>
                  <w14:solidFill>
                    <w14:schemeClr w14:val="tx1"/>
                  </w14:solidFill>
                </w14:textFill>
              </w:rPr>
            </w:pPr>
          </w:p>
        </w:tc>
        <w:tc>
          <w:tcPr>
            <w:tcW w:w="1789"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3053"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1年以上稳定</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工作关系人数</w:t>
            </w:r>
          </w:p>
        </w:tc>
        <w:tc>
          <w:tcPr>
            <w:tcW w:w="1416" w:type="dxa"/>
            <w:gridSpan w:val="2"/>
            <w:vAlign w:val="center"/>
          </w:tcPr>
          <w:p>
            <w:pPr>
              <w:jc w:val="center"/>
              <w:rPr>
                <w:rFonts w:eastAsia="仿宋_GB2312"/>
                <w:color w:val="000000" w:themeColor="text1"/>
                <w:sz w:val="24"/>
                <w14:textFill>
                  <w14:solidFill>
                    <w14:schemeClr w14:val="tx1"/>
                  </w14:solidFill>
                </w14:textFill>
              </w:rPr>
            </w:pPr>
          </w:p>
        </w:tc>
        <w:tc>
          <w:tcPr>
            <w:tcW w:w="2587"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参加社会保险人数</w:t>
            </w:r>
          </w:p>
        </w:tc>
        <w:tc>
          <w:tcPr>
            <w:tcW w:w="1789"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4469" w:type="dxa"/>
            <w:gridSpan w:val="5"/>
            <w:vAlign w:val="center"/>
          </w:tcPr>
          <w:p>
            <w:pPr>
              <w:ind w:firstLine="480" w:firstLineChars="200"/>
              <w:jc w:val="left"/>
              <w:rPr>
                <w:rFonts w:eastAsia="仿宋_GB2312"/>
                <w:color w:val="FF0000"/>
                <w:sz w:val="24"/>
              </w:rPr>
            </w:pPr>
            <w:r>
              <w:rPr>
                <w:rFonts w:hint="eastAsia" w:eastAsia="仿宋_GB2312"/>
                <w:color w:val="000000" w:themeColor="text1"/>
                <w:sz w:val="24"/>
                <w14:textFill>
                  <w14:solidFill>
                    <w14:schemeClr w14:val="tx1"/>
                  </w14:solidFill>
                </w14:textFill>
              </w:rPr>
              <w:t>法定代表人、主要负责人或实际控制人有无严重失信行为</w:t>
            </w:r>
          </w:p>
        </w:tc>
        <w:tc>
          <w:tcPr>
            <w:tcW w:w="4376" w:type="dxa"/>
            <w:gridSpan w:val="5"/>
            <w:vAlign w:val="center"/>
          </w:tcPr>
          <w:p>
            <w:pPr>
              <w:jc w:val="center"/>
              <w:rPr>
                <w:rFonts w:eastAsia="仿宋_GB2312"/>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3053"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近一年内有无</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行政处罚记录</w:t>
            </w:r>
          </w:p>
        </w:tc>
        <w:tc>
          <w:tcPr>
            <w:tcW w:w="1416" w:type="dxa"/>
            <w:gridSpan w:val="2"/>
            <w:vAlign w:val="center"/>
          </w:tcPr>
          <w:p>
            <w:pPr>
              <w:jc w:val="center"/>
              <w:rPr>
                <w:rFonts w:eastAsia="仿宋_GB2312"/>
                <w:color w:val="000000" w:themeColor="text1"/>
                <w:sz w:val="24"/>
                <w14:textFill>
                  <w14:solidFill>
                    <w14:schemeClr w14:val="tx1"/>
                  </w14:solidFill>
                </w14:textFill>
              </w:rPr>
            </w:pPr>
          </w:p>
        </w:tc>
        <w:tc>
          <w:tcPr>
            <w:tcW w:w="2587" w:type="dxa"/>
            <w:gridSpan w:val="3"/>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近一年内有无</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重大药品质量事故</w:t>
            </w:r>
          </w:p>
        </w:tc>
        <w:tc>
          <w:tcPr>
            <w:tcW w:w="1789"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7056" w:type="dxa"/>
            <w:gridSpan w:val="8"/>
            <w:vAlign w:val="center"/>
          </w:tcPr>
          <w:p>
            <w:pPr>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同一法人主体（投资主体）的相关定点医药机构，1年内有无因违规被暂停、解除或终止医保协议和正在接受经办机构调查处理等情况的记录。</w:t>
            </w:r>
          </w:p>
        </w:tc>
        <w:tc>
          <w:tcPr>
            <w:tcW w:w="1789" w:type="dxa"/>
            <w:gridSpan w:val="2"/>
            <w:vAlign w:val="center"/>
          </w:tcPr>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67" w:hRule="atLeast"/>
          <w:jc w:val="center"/>
        </w:trPr>
        <w:tc>
          <w:tcPr>
            <w:tcW w:w="1479" w:type="dxa"/>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申请单位</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意</w:t>
            </w: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见</w:t>
            </w:r>
          </w:p>
        </w:tc>
        <w:tc>
          <w:tcPr>
            <w:tcW w:w="7366" w:type="dxa"/>
            <w:gridSpan w:val="9"/>
          </w:tcPr>
          <w:p>
            <w:pPr>
              <w:spacing w:before="312" w:beforeLines="100"/>
              <w:ind w:firstLine="480" w:firstLineChars="200"/>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自愿承担</w:t>
            </w:r>
            <w:r>
              <w:rPr>
                <w:rFonts w:eastAsia="仿宋_GB2312"/>
                <w:bCs/>
                <w:color w:val="000000" w:themeColor="text1"/>
                <w:sz w:val="24"/>
                <w:u w:val="single"/>
                <w14:textFill>
                  <w14:solidFill>
                    <w14:schemeClr w14:val="tx1"/>
                  </w14:solidFill>
                </w14:textFill>
              </w:rPr>
              <w:t xml:space="preserve">       </w:t>
            </w:r>
            <w:r>
              <w:rPr>
                <w:rFonts w:hint="eastAsia" w:eastAsia="仿宋_GB2312"/>
                <w:bCs/>
                <w:color w:val="000000" w:themeColor="text1"/>
                <w:sz w:val="24"/>
                <w14:textFill>
                  <w14:solidFill>
                    <w14:schemeClr w14:val="tx1"/>
                  </w14:solidFill>
                </w14:textFill>
              </w:rPr>
              <w:t>县（市、区）</w:t>
            </w:r>
            <w:r>
              <w:rPr>
                <w:rFonts w:eastAsia="仿宋_GB2312"/>
                <w:bCs/>
                <w:color w:val="000000" w:themeColor="text1"/>
                <w:sz w:val="24"/>
                <w14:textFill>
                  <w14:solidFill>
                    <w14:schemeClr w14:val="tx1"/>
                  </w14:solidFill>
                </w14:textFill>
              </w:rPr>
              <w:t>医疗保障服务，申请成为医疗保障定点零售药店，并承诺所填写的信息</w:t>
            </w:r>
            <w:r>
              <w:rPr>
                <w:rFonts w:hint="eastAsia" w:eastAsia="仿宋_GB2312"/>
                <w:color w:val="000000" w:themeColor="text1"/>
                <w:sz w:val="24"/>
                <w14:textFill>
                  <w14:solidFill>
                    <w14:schemeClr w14:val="tx1"/>
                  </w14:solidFill>
                </w14:textFill>
              </w:rPr>
              <w:t>和</w:t>
            </w:r>
            <w:r>
              <w:rPr>
                <w:rFonts w:eastAsia="仿宋_GB2312"/>
                <w:color w:val="000000" w:themeColor="text1"/>
                <w:sz w:val="24"/>
                <w14:textFill>
                  <w14:solidFill>
                    <w14:schemeClr w14:val="tx1"/>
                  </w14:solidFill>
                </w14:textFill>
              </w:rPr>
              <w:t>提供的相关材料</w:t>
            </w:r>
            <w:r>
              <w:rPr>
                <w:rFonts w:eastAsia="仿宋_GB2312"/>
                <w:bCs/>
                <w:color w:val="000000" w:themeColor="text1"/>
                <w:sz w:val="24"/>
                <w14:textFill>
                  <w14:solidFill>
                    <w14:schemeClr w14:val="tx1"/>
                  </w14:solidFill>
                </w14:textFill>
              </w:rPr>
              <w:t>真实有效。如与事实不符，将承担提供虚假材料所造成的一切后果。</w:t>
            </w:r>
          </w:p>
          <w:p>
            <w:pPr>
              <w:ind w:firstLine="480" w:firstLineChars="200"/>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 xml:space="preserve">自愿按医保部门和医保经办机构要求安装实名制购药验证、实时监控等智能监管系统。 </w:t>
            </w:r>
          </w:p>
          <w:p>
            <w:pPr>
              <w:spacing w:after="91"/>
              <w:ind w:firstLine="4320" w:firstLineChars="1800"/>
              <w:rPr>
                <w:rFonts w:eastAsia="仿宋_GB2312"/>
                <w:color w:val="000000" w:themeColor="text1"/>
                <w:sz w:val="24"/>
                <w14:textFill>
                  <w14:solidFill>
                    <w14:schemeClr w14:val="tx1"/>
                  </w14:solidFill>
                </w14:textFill>
              </w:rPr>
            </w:pPr>
          </w:p>
          <w:p>
            <w:pPr>
              <w:spacing w:after="91"/>
              <w:ind w:firstLine="4320" w:firstLineChars="1800"/>
              <w:rPr>
                <w:rFonts w:eastAsia="仿宋_GB2312"/>
                <w:color w:val="000000" w:themeColor="text1"/>
                <w:sz w:val="24"/>
                <w14:textFill>
                  <w14:solidFill>
                    <w14:schemeClr w14:val="tx1"/>
                  </w14:solidFill>
                </w14:textFill>
              </w:rPr>
            </w:pPr>
          </w:p>
          <w:p>
            <w:pPr>
              <w:spacing w:after="91"/>
              <w:rPr>
                <w:rFonts w:eastAsia="仿宋_GB2312"/>
                <w:color w:val="000000" w:themeColor="text1"/>
                <w:sz w:val="24"/>
                <w14:textFill>
                  <w14:solidFill>
                    <w14:schemeClr w14:val="tx1"/>
                  </w14:solidFill>
                </w14:textFill>
              </w:rPr>
            </w:pPr>
          </w:p>
          <w:p>
            <w:pPr>
              <w:spacing w:after="91"/>
              <w:ind w:firstLine="4320" w:firstLineChars="1800"/>
              <w:rPr>
                <w:rFonts w:eastAsia="仿宋_GB2312"/>
                <w:color w:val="000000" w:themeColor="text1"/>
                <w:sz w:val="24"/>
                <w14:textFill>
                  <w14:solidFill>
                    <w14:schemeClr w14:val="tx1"/>
                  </w14:solidFill>
                </w14:textFill>
              </w:rPr>
            </w:pPr>
          </w:p>
          <w:p>
            <w:pPr>
              <w:spacing w:after="91"/>
              <w:ind w:firstLine="4320" w:firstLineChars="1800"/>
              <w:rPr>
                <w:rFonts w:eastAsia="仿宋_GB2312"/>
                <w:color w:val="000000" w:themeColor="text1"/>
                <w:sz w:val="24"/>
                <w14:textFill>
                  <w14:solidFill>
                    <w14:schemeClr w14:val="tx1"/>
                  </w14:solidFill>
                </w14:textFill>
              </w:rPr>
            </w:pPr>
          </w:p>
          <w:p>
            <w:pPr>
              <w:spacing w:after="91"/>
              <w:ind w:firstLine="4320" w:firstLineChars="18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法定代表人签字：</w:t>
            </w:r>
          </w:p>
          <w:p>
            <w:pPr>
              <w:ind w:left="4504" w:leftChars="2145"/>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单位（盖章）</w:t>
            </w:r>
          </w:p>
          <w:p>
            <w:pPr>
              <w:ind w:firstLine="4680" w:firstLineChars="195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年  月  日</w:t>
            </w:r>
          </w:p>
          <w:p>
            <w:pPr>
              <w:pStyle w:val="2"/>
            </w:pPr>
          </w:p>
          <w:p/>
        </w:tc>
      </w:tr>
    </w:tbl>
    <w:p>
      <w:pPr>
        <w:rPr>
          <w:rFonts w:ascii="Times New Roman" w:hAnsi="黑体" w:eastAsia="黑体" w:cs="Times New Roman"/>
          <w:color w:val="000000" w:themeColor="text1"/>
          <w:kern w:val="0"/>
          <w:sz w:val="32"/>
          <w:szCs w:val="32"/>
          <w14:textFill>
            <w14:solidFill>
              <w14:schemeClr w14:val="tx1"/>
            </w14:solidFill>
          </w14:textFill>
        </w:rPr>
        <w:sectPr>
          <w:footerReference r:id="rId3" w:type="default"/>
          <w:pgSz w:w="11906" w:h="16838"/>
          <w:pgMar w:top="1701" w:right="1417" w:bottom="1417" w:left="1417" w:header="851" w:footer="992" w:gutter="0"/>
          <w:cols w:space="425" w:num="1"/>
          <w:docGrid w:type="lines" w:linePitch="312" w:charSpace="0"/>
        </w:sectPr>
      </w:pPr>
    </w:p>
    <w:p>
      <w:pPr>
        <w:rPr>
          <w:rFonts w:ascii="Times New Roman" w:hAnsi="Times New Roman" w:eastAsia="黑体" w:cs="Times New Roman"/>
          <w:b/>
          <w:color w:val="000000" w:themeColor="text1"/>
          <w:kern w:val="0"/>
          <w:sz w:val="32"/>
          <w:szCs w:val="32"/>
          <w14:textFill>
            <w14:solidFill>
              <w14:schemeClr w14:val="tx1"/>
            </w14:solidFill>
          </w14:textFill>
        </w:rPr>
      </w:pPr>
      <w:r>
        <w:rPr>
          <w:rFonts w:ascii="Times New Roman" w:hAnsi="黑体" w:eastAsia="黑体" w:cs="Times New Roman"/>
          <w:color w:val="000000" w:themeColor="text1"/>
          <w:kern w:val="0"/>
          <w:sz w:val="32"/>
          <w:szCs w:val="32"/>
          <w14:textFill>
            <w14:solidFill>
              <w14:schemeClr w14:val="tx1"/>
            </w14:solidFill>
          </w14:textFill>
        </w:rPr>
        <w:t>附</w:t>
      </w:r>
      <w:r>
        <w:rPr>
          <w:rFonts w:hint="eastAsia" w:ascii="Times New Roman" w:hAnsi="黑体" w:eastAsia="黑体" w:cs="Times New Roman"/>
          <w:color w:val="000000" w:themeColor="text1"/>
          <w:kern w:val="0"/>
          <w:sz w:val="32"/>
          <w:szCs w:val="32"/>
          <w14:textFill>
            <w14:solidFill>
              <w14:schemeClr w14:val="tx1"/>
            </w14:solidFill>
          </w14:textFill>
        </w:rPr>
        <w:t>表</w:t>
      </w:r>
      <w:r>
        <w:rPr>
          <w:rFonts w:ascii="Times New Roman" w:hAnsi="Times New Roman" w:eastAsia="黑体" w:cs="Times New Roman"/>
          <w:color w:val="000000" w:themeColor="text1"/>
          <w:kern w:val="0"/>
          <w:sz w:val="32"/>
          <w:szCs w:val="32"/>
          <w14:textFill>
            <w14:solidFill>
              <w14:schemeClr w14:val="tx1"/>
            </w14:solidFill>
          </w14:textFill>
        </w:rPr>
        <w:t>3</w:t>
      </w:r>
    </w:p>
    <w:p>
      <w:pPr>
        <w:overflowPunct w:val="0"/>
        <w:adjustRightInd w:val="0"/>
        <w:snapToGrid w:val="0"/>
        <w:spacing w:before="156" w:beforeLines="50" w:after="312" w:afterLines="100" w:line="590" w:lineRule="exact"/>
        <w:jc w:val="center"/>
        <w:rPr>
          <w:rFonts w:ascii="方正书宋简体" w:eastAsia="方正书宋简体"/>
          <w:b/>
          <w:bCs/>
          <w:color w:val="000000" w:themeColor="text1"/>
          <w:spacing w:val="-8"/>
          <w:kern w:val="0"/>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pacing w:val="-14"/>
          <w:kern w:val="0"/>
          <w:sz w:val="44"/>
          <w:szCs w:val="44"/>
          <w14:textFill>
            <w14:solidFill>
              <w14:schemeClr w14:val="tx1"/>
            </w14:solidFill>
          </w14:textFill>
        </w:rPr>
        <w:tab/>
      </w:r>
      <w:r>
        <w:rPr>
          <w:rFonts w:hint="eastAsia" w:ascii="方正小标宋_GBK" w:hAnsi="方正小标宋_GBK" w:eastAsia="方正小标宋_GBK" w:cs="方正小标宋_GBK"/>
          <w:bCs/>
          <w:color w:val="000000" w:themeColor="text1"/>
          <w:spacing w:val="-14"/>
          <w:kern w:val="0"/>
          <w:sz w:val="44"/>
          <w:szCs w:val="44"/>
          <w14:textFill>
            <w14:solidFill>
              <w14:schemeClr w14:val="tx1"/>
            </w14:solidFill>
          </w14:textFill>
        </w:rPr>
        <w:t>台州市医疗保障定点医疗机构评估表</w:t>
      </w:r>
    </w:p>
    <w:p>
      <w:pPr>
        <w:overflowPunct w:val="0"/>
        <w:spacing w:line="590" w:lineRule="exact"/>
        <w:ind w:firstLine="720" w:firstLineChars="300"/>
        <w:rPr>
          <w:rFonts w:eastAsia="仿宋_GB2312"/>
          <w:bCs/>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医疗机构名称：                                    地址：                            评估时间：</w:t>
      </w:r>
    </w:p>
    <w:tbl>
      <w:tblPr>
        <w:tblStyle w:val="6"/>
        <w:tblW w:w="130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01"/>
        <w:gridCol w:w="562"/>
        <w:gridCol w:w="1846"/>
        <w:gridCol w:w="8528"/>
        <w:gridCol w:w="702"/>
        <w:gridCol w:w="7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tblHeader/>
          <w:jc w:val="center"/>
        </w:trPr>
        <w:tc>
          <w:tcPr>
            <w:tcW w:w="701" w:type="dxa"/>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指标类型</w:t>
            </w:r>
          </w:p>
        </w:tc>
        <w:tc>
          <w:tcPr>
            <w:tcW w:w="562" w:type="dxa"/>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序号</w:t>
            </w:r>
          </w:p>
        </w:tc>
        <w:tc>
          <w:tcPr>
            <w:tcW w:w="1846" w:type="dxa"/>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评估项目及分值</w:t>
            </w:r>
          </w:p>
        </w:tc>
        <w:tc>
          <w:tcPr>
            <w:tcW w:w="8528" w:type="dxa"/>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评</w:t>
            </w:r>
            <w:r>
              <w:rPr>
                <w:rFonts w:hint="eastAsia" w:ascii="黑体" w:hAnsi="黑体" w:eastAsia="黑体"/>
                <w:color w:val="000000" w:themeColor="text1"/>
                <w:sz w:val="24"/>
                <w14:textFill>
                  <w14:solidFill>
                    <w14:schemeClr w14:val="tx1"/>
                  </w14:solidFill>
                </w14:textFill>
              </w:rPr>
              <w:t xml:space="preserve">  </w:t>
            </w:r>
            <w:r>
              <w:rPr>
                <w:rFonts w:ascii="黑体" w:hAnsi="黑体" w:eastAsia="黑体"/>
                <w:color w:val="000000" w:themeColor="text1"/>
                <w:sz w:val="24"/>
                <w14:textFill>
                  <w14:solidFill>
                    <w14:schemeClr w14:val="tx1"/>
                  </w14:solidFill>
                </w14:textFill>
              </w:rPr>
              <w:t>分</w:t>
            </w:r>
            <w:r>
              <w:rPr>
                <w:rFonts w:hint="eastAsia" w:ascii="黑体" w:hAnsi="黑体" w:eastAsia="黑体"/>
                <w:color w:val="000000" w:themeColor="text1"/>
                <w:sz w:val="24"/>
                <w14:textFill>
                  <w14:solidFill>
                    <w14:schemeClr w14:val="tx1"/>
                  </w14:solidFill>
                </w14:textFill>
              </w:rPr>
              <w:t xml:space="preserve">  </w:t>
            </w:r>
            <w:r>
              <w:rPr>
                <w:rFonts w:ascii="黑体" w:hAnsi="黑体" w:eastAsia="黑体"/>
                <w:color w:val="000000" w:themeColor="text1"/>
                <w:sz w:val="24"/>
                <w14:textFill>
                  <w14:solidFill>
                    <w14:schemeClr w14:val="tx1"/>
                  </w14:solidFill>
                </w14:textFill>
              </w:rPr>
              <w:t>标</w:t>
            </w:r>
            <w:r>
              <w:rPr>
                <w:rFonts w:hint="eastAsia" w:ascii="黑体" w:hAnsi="黑体" w:eastAsia="黑体"/>
                <w:color w:val="000000" w:themeColor="text1"/>
                <w:sz w:val="24"/>
                <w14:textFill>
                  <w14:solidFill>
                    <w14:schemeClr w14:val="tx1"/>
                  </w14:solidFill>
                </w14:textFill>
              </w:rPr>
              <w:t xml:space="preserve">  </w:t>
            </w:r>
            <w:r>
              <w:rPr>
                <w:rFonts w:ascii="黑体" w:hAnsi="黑体" w:eastAsia="黑体"/>
                <w:color w:val="000000" w:themeColor="text1"/>
                <w:sz w:val="24"/>
                <w14:textFill>
                  <w14:solidFill>
                    <w14:schemeClr w14:val="tx1"/>
                  </w14:solidFill>
                </w14:textFill>
              </w:rPr>
              <w:t>准</w:t>
            </w:r>
          </w:p>
        </w:tc>
        <w:tc>
          <w:tcPr>
            <w:tcW w:w="702" w:type="dxa"/>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自评情况</w:t>
            </w:r>
          </w:p>
        </w:tc>
        <w:tc>
          <w:tcPr>
            <w:tcW w:w="702" w:type="dxa"/>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评估情况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restart"/>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基础指标</w:t>
            </w: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经营时间</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正式运营是否已达3个月，“否”即为不合格。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执业医师</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机构是否至少有1名取得医师执业证书、乡村医生执业证书或中医（专长）医师资格证书且第一注册地在该医疗机构的医师，“否”即为不合格。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医保管理</w:t>
            </w:r>
          </w:p>
        </w:tc>
        <w:tc>
          <w:tcPr>
            <w:tcW w:w="8528" w:type="dxa"/>
            <w:vAlign w:val="center"/>
          </w:tcPr>
          <w:p>
            <w:pPr>
              <w:overflowPunct w:val="0"/>
              <w:spacing w:line="320" w:lineRule="exact"/>
              <w:rPr>
                <w:rFonts w:eastAsia="仿宋_GB2312"/>
                <w:color w:val="000000" w:themeColor="text1"/>
                <w:spacing w:val="-2"/>
                <w:sz w:val="24"/>
                <w14:textFill>
                  <w14:solidFill>
                    <w14:schemeClr w14:val="tx1"/>
                  </w14:solidFill>
                </w14:textFill>
              </w:rPr>
            </w:pPr>
            <w:r>
              <w:rPr>
                <w:rFonts w:eastAsia="仿宋_GB2312"/>
                <w:color w:val="000000" w:themeColor="text1"/>
                <w:spacing w:val="-2"/>
                <w:sz w:val="24"/>
                <w14:textFill>
                  <w14:solidFill>
                    <w14:schemeClr w14:val="tx1"/>
                  </w14:solidFill>
                </w14:textFill>
              </w:rPr>
              <w:t>是否由主要负责人负责医保工作，且配备专（兼）职医保管理人员；100张床位以上的医疗机构是否设内部医保管理部门，并安排专职工作人员，“否”即为不合格。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制度建设</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是否具有符合医保协议管理要求的</w:t>
            </w:r>
            <w:r>
              <w:rPr>
                <w:rFonts w:hint="eastAsia" w:eastAsia="仿宋_GB2312"/>
                <w:color w:val="000000" w:themeColor="text1"/>
                <w:sz w:val="24"/>
                <w14:textFill>
                  <w14:solidFill>
                    <w14:schemeClr w14:val="tx1"/>
                  </w14:solidFill>
                </w14:textFill>
              </w:rPr>
              <w:t>医保</w:t>
            </w:r>
            <w:r>
              <w:rPr>
                <w:rFonts w:eastAsia="仿宋_GB2312"/>
                <w:color w:val="000000" w:themeColor="text1"/>
                <w:sz w:val="24"/>
                <w14:textFill>
                  <w14:solidFill>
                    <w14:schemeClr w14:val="tx1"/>
                  </w14:solidFill>
                </w14:textFill>
              </w:rPr>
              <w:t>管理制度、财务制度、统计信息管理制度、医疗质量安全核心制度等，“否”即为不合格。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信息系统</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是否</w:t>
            </w:r>
            <w:r>
              <w:rPr>
                <w:rFonts w:hint="eastAsia" w:eastAsia="仿宋_GB2312"/>
                <w:color w:val="000000" w:themeColor="text1"/>
                <w:sz w:val="24"/>
                <w14:textFill>
                  <w14:solidFill>
                    <w14:schemeClr w14:val="tx1"/>
                  </w14:solidFill>
                </w14:textFill>
              </w:rPr>
              <w:t>已具备</w:t>
            </w:r>
            <w:r>
              <w:rPr>
                <w:rFonts w:eastAsia="仿宋_GB2312"/>
                <w:color w:val="000000" w:themeColor="text1"/>
                <w:sz w:val="24"/>
                <w14:textFill>
                  <w14:solidFill>
                    <w14:schemeClr w14:val="tx1"/>
                  </w14:solidFill>
                </w14:textFill>
              </w:rPr>
              <w:t>与医保信息系统</w:t>
            </w:r>
            <w:r>
              <w:rPr>
                <w:rFonts w:hint="eastAsia" w:eastAsia="仿宋_GB2312"/>
                <w:color w:val="000000" w:themeColor="text1"/>
                <w:sz w:val="24"/>
                <w14:textFill>
                  <w14:solidFill>
                    <w14:schemeClr w14:val="tx1"/>
                  </w14:solidFill>
                </w14:textFill>
              </w:rPr>
              <w:t>有效对接</w:t>
            </w:r>
            <w:r>
              <w:rPr>
                <w:rFonts w:eastAsia="仿宋_GB2312"/>
                <w:color w:val="000000" w:themeColor="text1"/>
                <w:sz w:val="24"/>
                <w14:textFill>
                  <w14:solidFill>
                    <w14:schemeClr w14:val="tx1"/>
                  </w14:solidFill>
                </w14:textFill>
              </w:rPr>
              <w:t>的条件，“否”即为不合格。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6</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基础数据库</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是否已设立医保药品、诊疗项目、医疗服务设施、医用耗材、疾病病种等基础数据库，“否”即为不合格。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7</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执业范围</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是否以医疗美容、辅助生殖、生活照护、种植牙等非基本医疗服务为主要执业范围，“是”即为不合格。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8</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医药价格政策</w:t>
            </w:r>
          </w:p>
        </w:tc>
        <w:tc>
          <w:tcPr>
            <w:tcW w:w="8528" w:type="dxa"/>
            <w:vAlign w:val="center"/>
          </w:tcPr>
          <w:p>
            <w:pPr>
              <w:overflowPunct w:val="0"/>
              <w:spacing w:line="320" w:lineRule="exact"/>
              <w:rPr>
                <w:rFonts w:eastAsia="仿宋_GB2312"/>
                <w:color w:val="000000" w:themeColor="text1"/>
                <w:spacing w:val="-2"/>
                <w:sz w:val="24"/>
                <w14:textFill>
                  <w14:solidFill>
                    <w14:schemeClr w14:val="tx1"/>
                  </w14:solidFill>
                </w14:textFill>
              </w:rPr>
            </w:pPr>
            <w:r>
              <w:rPr>
                <w:rFonts w:eastAsia="仿宋_GB2312"/>
                <w:color w:val="000000" w:themeColor="text1"/>
                <w:spacing w:val="-2"/>
                <w:sz w:val="24"/>
                <w14:textFill>
                  <w14:solidFill>
                    <w14:schemeClr w14:val="tx1"/>
                  </w14:solidFill>
                </w14:textFill>
              </w:rPr>
              <w:t>基本医疗服务是否执行医疗保障行政部门制定的医药价格政策，“否”即为不合格</w:t>
            </w:r>
            <w:r>
              <w:rPr>
                <w:rFonts w:eastAsia="仿宋_GB2312"/>
                <w:color w:val="000000" w:themeColor="text1"/>
                <w:sz w:val="24"/>
                <w14:textFill>
                  <w14:solidFill>
                    <w14:schemeClr w14:val="tx1"/>
                  </w14:solidFill>
                </w14:textFill>
              </w:rPr>
              <w:t>。</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9</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信用制度</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机构的法定代表人、主要负责人或实际控制人是否有被列入失信人名单的，“是”即为不合格。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10</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医保</w:t>
            </w:r>
            <w:r>
              <w:rPr>
                <w:rFonts w:eastAsia="仿宋_GB2312"/>
                <w:color w:val="000000" w:themeColor="text1"/>
                <w:sz w:val="24"/>
                <w14:textFill>
                  <w14:solidFill>
                    <w14:schemeClr w14:val="tx1"/>
                  </w14:solidFill>
                </w14:textFill>
              </w:rPr>
              <w:t>协议</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机构是否</w:t>
            </w:r>
            <w:r>
              <w:rPr>
                <w:rFonts w:eastAsia="仿宋_GB2312"/>
                <w:color w:val="000000" w:themeColor="text1"/>
                <w:sz w:val="24"/>
                <w14:textFill>
                  <w14:solidFill>
                    <w14:schemeClr w14:val="tx1"/>
                  </w14:solidFill>
                </w14:textFill>
              </w:rPr>
              <w:t>存在</w:t>
            </w:r>
            <w:r>
              <w:rPr>
                <w:rFonts w:hint="eastAsia" w:eastAsia="仿宋_GB2312"/>
                <w:color w:val="000000" w:themeColor="text1"/>
                <w:sz w:val="24"/>
                <w14:textFill>
                  <w14:solidFill>
                    <w14:schemeClr w14:val="tx1"/>
                  </w14:solidFill>
                </w14:textFill>
              </w:rPr>
              <w:t>因</w:t>
            </w:r>
            <w:r>
              <w:rPr>
                <w:rFonts w:eastAsia="仿宋_GB2312"/>
                <w:color w:val="000000" w:themeColor="text1"/>
                <w:sz w:val="24"/>
                <w14:textFill>
                  <w14:solidFill>
                    <w14:schemeClr w14:val="tx1"/>
                  </w14:solidFill>
                </w14:textFill>
              </w:rPr>
              <w:t>严重违反医保协议约定而被解除协议未满</w:t>
            </w:r>
            <w:r>
              <w:rPr>
                <w:rFonts w:hint="eastAsia" w:eastAsia="仿宋_GB2312"/>
                <w:color w:val="000000" w:themeColor="text1"/>
                <w:sz w:val="24"/>
                <w14:textFill>
                  <w14:solidFill>
                    <w14:schemeClr w14:val="tx1"/>
                  </w14:solidFill>
                </w14:textFill>
              </w:rPr>
              <w:t>1年</w:t>
            </w:r>
            <w:r>
              <w:rPr>
                <w:rFonts w:eastAsia="仿宋_GB2312"/>
                <w:color w:val="000000" w:themeColor="text1"/>
                <w:sz w:val="24"/>
                <w14:textFill>
                  <w14:solidFill>
                    <w14:schemeClr w14:val="tx1"/>
                  </w14:solidFill>
                </w14:textFill>
              </w:rPr>
              <w:t>或已满</w:t>
            </w:r>
            <w:r>
              <w:rPr>
                <w:rFonts w:hint="eastAsia" w:eastAsia="仿宋_GB2312"/>
                <w:color w:val="000000" w:themeColor="text1"/>
                <w:sz w:val="24"/>
                <w14:textFill>
                  <w14:solidFill>
                    <w14:schemeClr w14:val="tx1"/>
                  </w14:solidFill>
                </w14:textFill>
              </w:rPr>
              <w:t>1年</w:t>
            </w:r>
            <w:r>
              <w:rPr>
                <w:rFonts w:eastAsia="仿宋_GB2312"/>
                <w:color w:val="000000" w:themeColor="text1"/>
                <w:sz w:val="24"/>
                <w14:textFill>
                  <w14:solidFill>
                    <w14:schemeClr w14:val="tx1"/>
                  </w14:solidFill>
                </w14:textFill>
              </w:rPr>
              <w:t>但未完全履行违约责任</w:t>
            </w:r>
            <w:r>
              <w:rPr>
                <w:rFonts w:hint="eastAsia" w:eastAsia="仿宋_GB2312"/>
                <w:color w:val="000000" w:themeColor="text1"/>
                <w:sz w:val="24"/>
                <w14:textFill>
                  <w14:solidFill>
                    <w14:schemeClr w14:val="tx1"/>
                  </w14:solidFill>
                </w14:textFill>
              </w:rPr>
              <w:t>的</w:t>
            </w:r>
            <w:r>
              <w:rPr>
                <w:rFonts w:eastAsia="仿宋_GB2312"/>
                <w:color w:val="000000" w:themeColor="text1"/>
                <w:sz w:val="24"/>
                <w14:textFill>
                  <w14:solidFill>
                    <w14:schemeClr w14:val="tx1"/>
                  </w14:solidFill>
                </w14:textFill>
              </w:rPr>
              <w:t>情况，</w:t>
            </w:r>
            <w:r>
              <w:rPr>
                <w:rFonts w:hint="eastAsia" w:eastAsia="仿宋_GB2312"/>
                <w:color w:val="000000" w:themeColor="text1"/>
                <w:sz w:val="24"/>
                <w14:textFill>
                  <w14:solidFill>
                    <w14:schemeClr w14:val="tx1"/>
                  </w14:solidFill>
                </w14:textFill>
              </w:rPr>
              <w:t>“是”即为不合格。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11</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行政处罚</w:t>
            </w:r>
          </w:p>
        </w:tc>
        <w:tc>
          <w:tcPr>
            <w:tcW w:w="8528" w:type="dxa"/>
            <w:vAlign w:val="center"/>
          </w:tcPr>
          <w:p>
            <w:pPr>
              <w:overflowPunct w:val="0"/>
              <w:spacing w:line="36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是否因医疗服务行为受到有关行政部门处罚未满1年，“是”即为不合格。</w:t>
            </w:r>
          </w:p>
          <w:p>
            <w:pPr>
              <w:overflowPunct w:val="0"/>
              <w:spacing w:line="36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是否未依法履行行政处罚责任，“是”即为不合格。</w:t>
            </w:r>
          </w:p>
          <w:p>
            <w:pPr>
              <w:overflowPunct w:val="0"/>
              <w:spacing w:line="36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是否存在因违法违规被解除医保协议未满3年或已满3年但未完全履行行政处罚法律责任的情况，“是”即为不合格。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restart"/>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12</w:t>
            </w:r>
          </w:p>
        </w:tc>
        <w:tc>
          <w:tcPr>
            <w:tcW w:w="1846" w:type="dxa"/>
            <w:vAlign w:val="center"/>
          </w:tcPr>
          <w:p>
            <w:pPr>
              <w:overflowPunct w:val="0"/>
              <w:spacing w:line="30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法定</w:t>
            </w:r>
            <w:r>
              <w:rPr>
                <w:rFonts w:eastAsia="仿宋_GB2312"/>
                <w:color w:val="000000" w:themeColor="text1"/>
                <w:sz w:val="24"/>
                <w14:textFill>
                  <w14:solidFill>
                    <w14:schemeClr w14:val="tx1"/>
                  </w14:solidFill>
                </w14:textFill>
              </w:rPr>
              <w:t>代表人、主要负责人</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实际控制人</w:t>
            </w:r>
          </w:p>
        </w:tc>
        <w:tc>
          <w:tcPr>
            <w:tcW w:w="8528" w:type="dxa"/>
            <w:vAlign w:val="center"/>
          </w:tcPr>
          <w:p>
            <w:pPr>
              <w:overflowPunct w:val="0"/>
              <w:spacing w:line="30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机构法定</w:t>
            </w:r>
            <w:r>
              <w:rPr>
                <w:rFonts w:eastAsia="仿宋_GB2312"/>
                <w:color w:val="000000" w:themeColor="text1"/>
                <w:sz w:val="24"/>
                <w14:textFill>
                  <w14:solidFill>
                    <w14:schemeClr w14:val="tx1"/>
                  </w14:solidFill>
                </w14:textFill>
              </w:rPr>
              <w:t>代表人、主要负责人或实际控制人</w:t>
            </w:r>
            <w:r>
              <w:rPr>
                <w:rFonts w:hint="eastAsia" w:eastAsia="仿宋_GB2312"/>
                <w:color w:val="000000" w:themeColor="text1"/>
                <w:sz w:val="24"/>
                <w14:textFill>
                  <w14:solidFill>
                    <w14:schemeClr w14:val="tx1"/>
                  </w14:solidFill>
                </w14:textFill>
              </w:rPr>
              <w:t>是否曾因</w:t>
            </w:r>
            <w:r>
              <w:rPr>
                <w:rFonts w:eastAsia="仿宋_GB2312"/>
                <w:color w:val="000000" w:themeColor="text1"/>
                <w:sz w:val="24"/>
                <w14:textFill>
                  <w14:solidFill>
                    <w14:schemeClr w14:val="tx1"/>
                  </w14:solidFill>
                </w14:textFill>
              </w:rPr>
              <w:t>严重违法违规导致原</w:t>
            </w:r>
            <w:r>
              <w:rPr>
                <w:rFonts w:hint="eastAsia" w:eastAsia="仿宋_GB2312"/>
                <w:color w:val="000000" w:themeColor="text1"/>
                <w:sz w:val="24"/>
                <w14:textFill>
                  <w14:solidFill>
                    <w14:schemeClr w14:val="tx1"/>
                  </w14:solidFill>
                </w14:textFill>
              </w:rPr>
              <w:t>定点</w:t>
            </w:r>
            <w:r>
              <w:rPr>
                <w:rFonts w:eastAsia="仿宋_GB2312"/>
                <w:color w:val="000000" w:themeColor="text1"/>
                <w:sz w:val="24"/>
                <w14:textFill>
                  <w14:solidFill>
                    <w14:schemeClr w14:val="tx1"/>
                  </w14:solidFill>
                </w14:textFill>
              </w:rPr>
              <w:t>医疗机构</w:t>
            </w:r>
            <w:r>
              <w:rPr>
                <w:rFonts w:hint="eastAsia" w:eastAsia="仿宋_GB2312"/>
                <w:color w:val="000000" w:themeColor="text1"/>
                <w:sz w:val="24"/>
                <w14:textFill>
                  <w14:solidFill>
                    <w14:schemeClr w14:val="tx1"/>
                  </w14:solidFill>
                </w14:textFill>
              </w:rPr>
              <w:t>被解除医保协议，未满5年的，“是”即为</w:t>
            </w:r>
            <w:r>
              <w:rPr>
                <w:rFonts w:eastAsia="仿宋_GB2312"/>
                <w:color w:val="000000" w:themeColor="text1"/>
                <w:sz w:val="24"/>
                <w14:textFill>
                  <w14:solidFill>
                    <w14:schemeClr w14:val="tx1"/>
                  </w14:solidFill>
                </w14:textFill>
              </w:rPr>
              <w:t>不合格。</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13</w:t>
            </w:r>
          </w:p>
        </w:tc>
        <w:tc>
          <w:tcPr>
            <w:tcW w:w="1846" w:type="dxa"/>
            <w:vAlign w:val="center"/>
          </w:tcPr>
          <w:p>
            <w:pPr>
              <w:overflowPunct w:val="0"/>
              <w:spacing w:line="300" w:lineRule="exact"/>
              <w:rPr>
                <w:rFonts w:ascii="Times New Roman" w:hAnsi="Times New Roman" w:eastAsia="仿宋_GB2312" w:cs="Times New Roman"/>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机构</w:t>
            </w:r>
            <w:r>
              <w:rPr>
                <w:rFonts w:eastAsia="仿宋_GB2312"/>
                <w:color w:val="000000" w:themeColor="text1"/>
                <w:sz w:val="24"/>
                <w14:textFill>
                  <w14:solidFill>
                    <w14:schemeClr w14:val="tx1"/>
                  </w14:solidFill>
                </w14:textFill>
              </w:rPr>
              <w:t>执业资质</w:t>
            </w:r>
          </w:p>
        </w:tc>
        <w:tc>
          <w:tcPr>
            <w:tcW w:w="8528" w:type="dxa"/>
            <w:vAlign w:val="center"/>
          </w:tcPr>
          <w:p>
            <w:pPr>
              <w:overflowPunct w:val="0"/>
              <w:spacing w:line="300" w:lineRule="exact"/>
              <w:rPr>
                <w:rFonts w:ascii="Times New Roman" w:hAnsi="Times New Roman" w:eastAsia="仿宋_GB2312" w:cs="Times New Roman"/>
                <w:color w:val="000000" w:themeColor="text1"/>
                <w:kern w:val="0"/>
                <w:sz w:val="24"/>
                <w14:textFill>
                  <w14:solidFill>
                    <w14:schemeClr w14:val="tx1"/>
                  </w14:solidFill>
                </w14:textFill>
              </w:rPr>
            </w:pPr>
            <w:r>
              <w:rPr>
                <w:rFonts w:hint="eastAsia" w:eastAsia="仿宋_GB2312"/>
                <w:color w:val="000000" w:themeColor="text1"/>
                <w:kern w:val="0"/>
                <w:sz w:val="24"/>
                <w14:textFill>
                  <w14:solidFill>
                    <w14:schemeClr w14:val="tx1"/>
                  </w14:solidFill>
                </w14:textFill>
              </w:rPr>
              <w:t>核查医疗机构执业许可证或中医诊所备案证或军队医疗机构为民服务许可证，与</w:t>
            </w:r>
            <w:r>
              <w:rPr>
                <w:rFonts w:eastAsia="仿宋_GB2312"/>
                <w:color w:val="000000" w:themeColor="text1"/>
                <w:kern w:val="0"/>
                <w:sz w:val="24"/>
                <w14:textFill>
                  <w14:solidFill>
                    <w14:schemeClr w14:val="tx1"/>
                  </w14:solidFill>
                </w14:textFill>
              </w:rPr>
              <w:t>上传</w:t>
            </w:r>
            <w:r>
              <w:rPr>
                <w:rFonts w:hint="eastAsia" w:eastAsia="仿宋_GB2312"/>
                <w:color w:val="000000" w:themeColor="text1"/>
                <w:kern w:val="0"/>
                <w:sz w:val="24"/>
                <w14:textFill>
                  <w14:solidFill>
                    <w14:schemeClr w14:val="tx1"/>
                  </w14:solidFill>
                </w14:textFill>
              </w:rPr>
              <w:t>信息</w:t>
            </w:r>
            <w:r>
              <w:rPr>
                <w:rFonts w:eastAsia="仿宋_GB2312"/>
                <w:color w:val="000000" w:themeColor="text1"/>
                <w:kern w:val="0"/>
                <w:sz w:val="24"/>
                <w14:textFill>
                  <w14:solidFill>
                    <w14:schemeClr w14:val="tx1"/>
                  </w14:solidFill>
                </w14:textFill>
              </w:rPr>
              <w:t>复印件</w:t>
            </w:r>
            <w:r>
              <w:rPr>
                <w:rFonts w:hint="eastAsia" w:eastAsia="仿宋_GB2312"/>
                <w:color w:val="000000" w:themeColor="text1"/>
                <w:kern w:val="0"/>
                <w:sz w:val="24"/>
                <w14:textFill>
                  <w14:solidFill>
                    <w14:schemeClr w14:val="tx1"/>
                  </w14:solidFill>
                </w14:textFill>
              </w:rPr>
              <w:t>不一致</w:t>
            </w:r>
            <w:r>
              <w:rPr>
                <w:rFonts w:eastAsia="仿宋_GB2312"/>
                <w:color w:val="000000" w:themeColor="text1"/>
                <w:kern w:val="0"/>
                <w:sz w:val="24"/>
                <w14:textFill>
                  <w14:solidFill>
                    <w14:schemeClr w14:val="tx1"/>
                  </w14:solidFill>
                </w14:textFill>
              </w:rPr>
              <w:t>的</w:t>
            </w:r>
            <w:r>
              <w:rPr>
                <w:rFonts w:hint="eastAsia" w:eastAsia="仿宋_GB2312"/>
                <w:color w:val="000000" w:themeColor="text1"/>
                <w:kern w:val="0"/>
                <w:sz w:val="24"/>
                <w14:textFill>
                  <w14:solidFill>
                    <w14:schemeClr w14:val="tx1"/>
                  </w14:solidFill>
                </w14:textFill>
              </w:rPr>
              <w:t>，</w:t>
            </w:r>
            <w:r>
              <w:rPr>
                <w:rFonts w:hint="eastAsia" w:eastAsia="仿宋_GB2312"/>
                <w:color w:val="000000" w:themeColor="text1"/>
                <w:sz w:val="24"/>
                <w14:textFill>
                  <w14:solidFill>
                    <w14:schemeClr w14:val="tx1"/>
                  </w14:solidFill>
                </w14:textFill>
              </w:rPr>
              <w:t>即为</w:t>
            </w:r>
            <w:r>
              <w:rPr>
                <w:rFonts w:eastAsia="仿宋_GB2312"/>
                <w:color w:val="000000" w:themeColor="text1"/>
                <w:sz w:val="24"/>
                <w14:textFill>
                  <w14:solidFill>
                    <w14:schemeClr w14:val="tx1"/>
                  </w14:solidFill>
                </w14:textFill>
              </w:rPr>
              <w:t>不合格</w:t>
            </w:r>
            <w:r>
              <w:rPr>
                <w:rFonts w:hint="eastAsia" w:eastAsia="仿宋_GB2312"/>
                <w:color w:val="000000" w:themeColor="text1"/>
                <w:sz w:val="24"/>
                <w14:textFill>
                  <w14:solidFill>
                    <w14:schemeClr w14:val="tx1"/>
                  </w14:solidFill>
                </w14:textFill>
              </w:rPr>
              <w:t>。</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14</w:t>
            </w:r>
          </w:p>
        </w:tc>
        <w:tc>
          <w:tcPr>
            <w:tcW w:w="1846" w:type="dxa"/>
            <w:vAlign w:val="center"/>
          </w:tcPr>
          <w:p>
            <w:pPr>
              <w:overflowPunct w:val="0"/>
              <w:spacing w:line="300" w:lineRule="exact"/>
              <w:rPr>
                <w:rFonts w:ascii="Times New Roman" w:hAnsi="Times New Roman" w:eastAsia="仿宋_GB2312" w:cs="Times New Roman"/>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医护人员</w:t>
            </w:r>
            <w:r>
              <w:rPr>
                <w:rFonts w:eastAsia="仿宋_GB2312"/>
                <w:color w:val="000000" w:themeColor="text1"/>
                <w:sz w:val="24"/>
                <w14:textFill>
                  <w14:solidFill>
                    <w14:schemeClr w14:val="tx1"/>
                  </w14:solidFill>
                </w14:textFill>
              </w:rPr>
              <w:t>资质</w:t>
            </w:r>
          </w:p>
        </w:tc>
        <w:tc>
          <w:tcPr>
            <w:tcW w:w="8528" w:type="dxa"/>
            <w:vAlign w:val="center"/>
          </w:tcPr>
          <w:p>
            <w:pPr>
              <w:pStyle w:val="10"/>
              <w:widowControl/>
              <w:overflowPunct w:val="0"/>
              <w:autoSpaceDE/>
              <w:autoSpaceDN/>
              <w:spacing w:line="300" w:lineRule="exact"/>
              <w:jc w:val="both"/>
              <w:rPr>
                <w:rFonts w:ascii="Times New Roman" w:hAnsi="Times New Roman" w:eastAsia="仿宋_GB2312" w:cs="Times New Roman"/>
                <w:color w:val="000000" w:themeColor="text1"/>
                <w:spacing w:val="-4"/>
                <w:kern w:val="2"/>
                <w14:textFill>
                  <w14:solidFill>
                    <w14:schemeClr w14:val="tx1"/>
                  </w14:solidFill>
                </w14:textFill>
              </w:rPr>
            </w:pPr>
            <w:r>
              <w:rPr>
                <w:rFonts w:hint="eastAsia" w:ascii="Times New Roman" w:hAnsi="Times New Roman" w:eastAsia="仿宋_GB2312"/>
                <w:color w:val="000000" w:themeColor="text1"/>
                <w:spacing w:val="-4"/>
                <w:kern w:val="2"/>
                <w14:textFill>
                  <w14:solidFill>
                    <w14:schemeClr w14:val="tx1"/>
                  </w14:solidFill>
                </w14:textFill>
              </w:rPr>
              <w:t>核查</w:t>
            </w:r>
            <w:r>
              <w:rPr>
                <w:rFonts w:ascii="Times New Roman" w:hAnsi="Times New Roman" w:eastAsia="仿宋_GB2312"/>
                <w:color w:val="000000" w:themeColor="text1"/>
                <w:spacing w:val="-4"/>
                <w:kern w:val="2"/>
                <w14:textFill>
                  <w14:solidFill>
                    <w14:schemeClr w14:val="tx1"/>
                  </w14:solidFill>
                </w14:textFill>
              </w:rPr>
              <w:t>医师、</w:t>
            </w:r>
            <w:r>
              <w:rPr>
                <w:rFonts w:hint="eastAsia" w:ascii="Times New Roman" w:hAnsi="Times New Roman" w:eastAsia="仿宋_GB2312"/>
                <w:color w:val="000000" w:themeColor="text1"/>
                <w:spacing w:val="-4"/>
                <w:kern w:val="2"/>
                <w14:textFill>
                  <w14:solidFill>
                    <w14:schemeClr w14:val="tx1"/>
                  </w14:solidFill>
                </w14:textFill>
              </w:rPr>
              <w:t>护士</w:t>
            </w:r>
            <w:r>
              <w:rPr>
                <w:rFonts w:ascii="Times New Roman" w:hAnsi="Times New Roman" w:eastAsia="仿宋_GB2312"/>
                <w:color w:val="000000" w:themeColor="text1"/>
                <w:spacing w:val="-4"/>
                <w:kern w:val="2"/>
                <w14:textFill>
                  <w14:solidFill>
                    <w14:schemeClr w14:val="tx1"/>
                  </w14:solidFill>
                </w14:textFill>
              </w:rPr>
              <w:t>、</w:t>
            </w:r>
            <w:r>
              <w:rPr>
                <w:rFonts w:hint="eastAsia" w:ascii="Times New Roman" w:hAnsi="Times New Roman" w:eastAsia="仿宋_GB2312"/>
                <w:color w:val="000000" w:themeColor="text1"/>
                <w:spacing w:val="-4"/>
                <w:kern w:val="2"/>
                <w14:textFill>
                  <w14:solidFill>
                    <w14:schemeClr w14:val="tx1"/>
                  </w14:solidFill>
                </w14:textFill>
              </w:rPr>
              <w:t>药学</w:t>
            </w:r>
            <w:r>
              <w:rPr>
                <w:rFonts w:ascii="Times New Roman" w:hAnsi="Times New Roman" w:eastAsia="仿宋_GB2312"/>
                <w:color w:val="000000" w:themeColor="text1"/>
                <w:spacing w:val="-4"/>
                <w:kern w:val="2"/>
                <w14:textFill>
                  <w14:solidFill>
                    <w14:schemeClr w14:val="tx1"/>
                  </w14:solidFill>
                </w14:textFill>
              </w:rPr>
              <w:t>及医技等专业技术人员</w:t>
            </w:r>
            <w:r>
              <w:rPr>
                <w:rFonts w:hint="eastAsia" w:ascii="Times New Roman" w:hAnsi="Times New Roman" w:eastAsia="仿宋_GB2312"/>
                <w:color w:val="000000" w:themeColor="text1"/>
                <w:spacing w:val="-4"/>
                <w:kern w:val="2"/>
                <w14:textFill>
                  <w14:solidFill>
                    <w14:schemeClr w14:val="tx1"/>
                  </w14:solidFill>
                </w14:textFill>
              </w:rPr>
              <w:t>执业</w:t>
            </w:r>
            <w:r>
              <w:rPr>
                <w:rFonts w:ascii="Times New Roman" w:hAnsi="Times New Roman" w:eastAsia="仿宋_GB2312"/>
                <w:color w:val="000000" w:themeColor="text1"/>
                <w:spacing w:val="-4"/>
                <w:kern w:val="2"/>
                <w14:textFill>
                  <w14:solidFill>
                    <w14:schemeClr w14:val="tx1"/>
                  </w14:solidFill>
                </w14:textFill>
              </w:rPr>
              <w:t>信息和医师第一注册地信息，</w:t>
            </w:r>
            <w:r>
              <w:rPr>
                <w:rFonts w:hint="eastAsia" w:ascii="Times New Roman" w:hAnsi="Times New Roman" w:eastAsia="仿宋_GB2312"/>
                <w:color w:val="000000" w:themeColor="text1"/>
                <w:spacing w:val="-4"/>
                <w:kern w:val="2"/>
                <w14:textFill>
                  <w14:solidFill>
                    <w14:schemeClr w14:val="tx1"/>
                  </w14:solidFill>
                </w14:textFill>
              </w:rPr>
              <w:t>配置</w:t>
            </w:r>
            <w:r>
              <w:rPr>
                <w:rFonts w:ascii="Times New Roman" w:hAnsi="Times New Roman" w:eastAsia="仿宋_GB2312"/>
                <w:color w:val="000000" w:themeColor="text1"/>
                <w:spacing w:val="-4"/>
                <w:kern w:val="2"/>
                <w14:textFill>
                  <w14:solidFill>
                    <w14:schemeClr w14:val="tx1"/>
                  </w14:solidFill>
                </w14:textFill>
              </w:rPr>
              <w:t>不符合卫健</w:t>
            </w:r>
            <w:r>
              <w:rPr>
                <w:rFonts w:hint="eastAsia" w:ascii="Times New Roman" w:hAnsi="Times New Roman" w:eastAsia="仿宋_GB2312"/>
                <w:color w:val="000000" w:themeColor="text1"/>
                <w:spacing w:val="-4"/>
                <w:kern w:val="2"/>
                <w14:textFill>
                  <w14:solidFill>
                    <w14:schemeClr w14:val="tx1"/>
                  </w14:solidFill>
                </w14:textFill>
              </w:rPr>
              <w:t>要求</w:t>
            </w:r>
            <w:r>
              <w:rPr>
                <w:rFonts w:ascii="Times New Roman" w:hAnsi="Times New Roman" w:eastAsia="仿宋_GB2312"/>
                <w:color w:val="000000" w:themeColor="text1"/>
                <w:spacing w:val="-4"/>
                <w:kern w:val="2"/>
                <w14:textFill>
                  <w14:solidFill>
                    <w14:schemeClr w14:val="tx1"/>
                  </w14:solidFill>
                </w14:textFill>
              </w:rPr>
              <w:t>的</w:t>
            </w:r>
            <w:r>
              <w:rPr>
                <w:rFonts w:hint="eastAsia" w:ascii="Times New Roman" w:hAnsi="Times New Roman" w:eastAsia="仿宋_GB2312"/>
                <w:color w:val="000000" w:themeColor="text1"/>
                <w:spacing w:val="-4"/>
                <w:kern w:val="2"/>
                <w14:textFill>
                  <w14:solidFill>
                    <w14:schemeClr w14:val="tx1"/>
                  </w14:solidFill>
                </w14:textFill>
              </w:rPr>
              <w:t>，</w:t>
            </w:r>
            <w:r>
              <w:rPr>
                <w:rFonts w:hint="eastAsia" w:eastAsia="仿宋_GB2312"/>
                <w:color w:val="000000" w:themeColor="text1"/>
                <w14:textFill>
                  <w14:solidFill>
                    <w14:schemeClr w14:val="tx1"/>
                  </w14:solidFill>
                </w14:textFill>
              </w:rPr>
              <w:t>即为</w:t>
            </w:r>
            <w:r>
              <w:rPr>
                <w:rFonts w:eastAsia="仿宋_GB2312"/>
                <w:color w:val="000000" w:themeColor="text1"/>
                <w14:textFill>
                  <w14:solidFill>
                    <w14:schemeClr w14:val="tx1"/>
                  </w14:solidFill>
                </w14:textFill>
              </w:rPr>
              <w:t>不合格</w:t>
            </w:r>
            <w:r>
              <w:rPr>
                <w:rFonts w:ascii="Times New Roman" w:hAnsi="Times New Roman" w:eastAsia="仿宋_GB2312"/>
                <w:color w:val="000000" w:themeColor="text1"/>
                <w:spacing w:val="-4"/>
                <w:kern w:val="2"/>
                <w14:textFill>
                  <w14:solidFill>
                    <w14:schemeClr w14:val="tx1"/>
                  </w14:solidFill>
                </w14:textFill>
              </w:rPr>
              <w:t>。</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15</w:t>
            </w:r>
          </w:p>
        </w:tc>
        <w:tc>
          <w:tcPr>
            <w:tcW w:w="1846" w:type="dxa"/>
            <w:vAlign w:val="center"/>
          </w:tcPr>
          <w:p>
            <w:pPr>
              <w:overflowPunct w:val="0"/>
              <w:spacing w:line="300" w:lineRule="exact"/>
              <w:rPr>
                <w:rFonts w:ascii="Times New Roman" w:hAnsi="Times New Roman" w:eastAsia="仿宋_GB2312" w:cs="Times New Roman"/>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基础服务</w:t>
            </w:r>
            <w:r>
              <w:rPr>
                <w:rFonts w:eastAsia="仿宋_GB2312"/>
                <w:color w:val="000000" w:themeColor="text1"/>
                <w:sz w:val="24"/>
                <w14:textFill>
                  <w14:solidFill>
                    <w14:schemeClr w14:val="tx1"/>
                  </w14:solidFill>
                </w14:textFill>
              </w:rPr>
              <w:t>与设施</w:t>
            </w:r>
          </w:p>
        </w:tc>
        <w:tc>
          <w:tcPr>
            <w:tcW w:w="8528" w:type="dxa"/>
            <w:vAlign w:val="center"/>
          </w:tcPr>
          <w:p>
            <w:pPr>
              <w:pStyle w:val="10"/>
              <w:widowControl/>
              <w:overflowPunct w:val="0"/>
              <w:autoSpaceDE/>
              <w:autoSpaceDN/>
              <w:spacing w:line="300" w:lineRule="exact"/>
              <w:jc w:val="both"/>
              <w:rPr>
                <w:rFonts w:ascii="Times New Roman" w:hAnsi="Times New Roman" w:eastAsia="仿宋_GB2312" w:cs="Times New Roman"/>
                <w:color w:val="000000" w:themeColor="text1"/>
                <w:spacing w:val="-4"/>
                <w:kern w:val="2"/>
                <w14:textFill>
                  <w14:solidFill>
                    <w14:schemeClr w14:val="tx1"/>
                  </w14:solidFill>
                </w14:textFill>
              </w:rPr>
            </w:pPr>
            <w:r>
              <w:rPr>
                <w:rFonts w:hint="eastAsia" w:ascii="Times New Roman" w:hAnsi="Times New Roman" w:eastAsia="仿宋_GB2312"/>
                <w:color w:val="000000" w:themeColor="text1"/>
                <w:spacing w:val="-4"/>
                <w:kern w:val="2"/>
                <w14:textFill>
                  <w14:solidFill>
                    <w14:schemeClr w14:val="tx1"/>
                  </w14:solidFill>
                </w14:textFill>
              </w:rPr>
              <w:t>核查与服务功能相适应的诊断、治疗、手术、住院、药品贮存及发放、检查检验放射等基础设施和仪器设备，</w:t>
            </w:r>
            <w:r>
              <w:rPr>
                <w:rFonts w:ascii="Times New Roman" w:hAnsi="Times New Roman" w:eastAsia="仿宋_GB2312"/>
                <w:color w:val="000000" w:themeColor="text1"/>
                <w:spacing w:val="-4"/>
                <w:kern w:val="2"/>
                <w14:textFill>
                  <w14:solidFill>
                    <w14:schemeClr w14:val="tx1"/>
                  </w14:solidFill>
                </w14:textFill>
              </w:rPr>
              <w:t>不</w:t>
            </w:r>
            <w:r>
              <w:rPr>
                <w:rFonts w:hint="eastAsia" w:ascii="Times New Roman" w:hAnsi="Times New Roman" w:eastAsia="仿宋_GB2312"/>
                <w:color w:val="000000" w:themeColor="text1"/>
                <w:spacing w:val="-4"/>
                <w:kern w:val="2"/>
                <w14:textFill>
                  <w14:solidFill>
                    <w14:schemeClr w14:val="tx1"/>
                  </w14:solidFill>
                </w14:textFill>
              </w:rPr>
              <w:t>具备的，</w:t>
            </w:r>
            <w:r>
              <w:rPr>
                <w:rFonts w:hint="eastAsia" w:eastAsia="仿宋_GB2312"/>
                <w:color w:val="000000" w:themeColor="text1"/>
                <w14:textFill>
                  <w14:solidFill>
                    <w14:schemeClr w14:val="tx1"/>
                  </w14:solidFill>
                </w14:textFill>
              </w:rPr>
              <w:t>即为</w:t>
            </w:r>
            <w:r>
              <w:rPr>
                <w:rFonts w:eastAsia="仿宋_GB2312"/>
                <w:color w:val="000000" w:themeColor="text1"/>
                <w14:textFill>
                  <w14:solidFill>
                    <w14:schemeClr w14:val="tx1"/>
                  </w14:solidFill>
                </w14:textFill>
              </w:rPr>
              <w:t>不合格</w:t>
            </w:r>
            <w:r>
              <w:rPr>
                <w:rFonts w:ascii="Times New Roman" w:hAnsi="Times New Roman" w:eastAsia="仿宋_GB2312"/>
                <w:color w:val="000000" w:themeColor="text1"/>
                <w:spacing w:val="-4"/>
                <w:kern w:val="2"/>
                <w14:textFill>
                  <w14:solidFill>
                    <w14:schemeClr w14:val="tx1"/>
                  </w14:solidFill>
                </w14:textFill>
              </w:rPr>
              <w:t>。</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701" w:type="dxa"/>
            <w:vMerge w:val="restart"/>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b/>
                <w:bCs/>
                <w:color w:val="000000" w:themeColor="text1"/>
                <w:sz w:val="24"/>
                <w14:textFill>
                  <w14:solidFill>
                    <w14:schemeClr w14:val="tx1"/>
                  </w14:solidFill>
                </w14:textFill>
              </w:rPr>
              <w:t>评估</w:t>
            </w:r>
            <w:r>
              <w:rPr>
                <w:rFonts w:eastAsia="仿宋_GB2312"/>
                <w:b/>
                <w:bCs/>
                <w:color w:val="000000" w:themeColor="text1"/>
                <w:sz w:val="24"/>
                <w14:textFill>
                  <w14:solidFill>
                    <w14:schemeClr w14:val="tx1"/>
                  </w14:solidFill>
                </w14:textFill>
              </w:rPr>
              <w:t>指标</w:t>
            </w: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w:t>
            </w:r>
          </w:p>
        </w:tc>
        <w:tc>
          <w:tcPr>
            <w:tcW w:w="1846" w:type="dxa"/>
            <w:vAlign w:val="center"/>
          </w:tcPr>
          <w:p>
            <w:pPr>
              <w:overflowPunct w:val="0"/>
              <w:spacing w:line="30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建立完善的医保管理制度（5分）</w:t>
            </w:r>
          </w:p>
        </w:tc>
        <w:tc>
          <w:tcPr>
            <w:tcW w:w="8528" w:type="dxa"/>
            <w:vAlign w:val="center"/>
          </w:tcPr>
          <w:p>
            <w:pPr>
              <w:overflowPunct w:val="0"/>
              <w:spacing w:line="300" w:lineRule="exact"/>
              <w:rPr>
                <w:rFonts w:eastAsia="仿宋_GB2312"/>
                <w:color w:val="000000" w:themeColor="text1"/>
                <w:spacing w:val="-4"/>
                <w:sz w:val="24"/>
                <w14:textFill>
                  <w14:solidFill>
                    <w14:schemeClr w14:val="tx1"/>
                  </w14:solidFill>
                </w14:textFill>
              </w:rPr>
            </w:pPr>
            <w:r>
              <w:rPr>
                <w:rFonts w:hint="eastAsia" w:eastAsia="仿宋_GB2312"/>
                <w:color w:val="000000" w:themeColor="text1"/>
                <w:spacing w:val="-4"/>
                <w:sz w:val="24"/>
                <w14:textFill>
                  <w14:solidFill>
                    <w14:schemeClr w14:val="tx1"/>
                  </w14:solidFill>
                </w14:textFill>
              </w:rPr>
              <w:t>建立包括医保办（医保人员）工作制度、医保病历处方审核制度、医保相关审批管理制度、医保政策宣传培训制度等的医院医保管理制度。未建立制度，</w:t>
            </w:r>
            <w:r>
              <w:rPr>
                <w:rFonts w:eastAsia="仿宋_GB2312"/>
                <w:color w:val="000000" w:themeColor="text1"/>
                <w:spacing w:val="-4"/>
                <w:sz w:val="24"/>
                <w14:textFill>
                  <w14:solidFill>
                    <w14:schemeClr w14:val="tx1"/>
                  </w14:solidFill>
                </w14:textFill>
              </w:rPr>
              <w:t>此项不得</w:t>
            </w:r>
            <w:r>
              <w:rPr>
                <w:rFonts w:hint="eastAsia" w:eastAsia="仿宋_GB2312"/>
                <w:color w:val="000000" w:themeColor="text1"/>
                <w:spacing w:val="-4"/>
                <w:sz w:val="24"/>
                <w14:textFill>
                  <w14:solidFill>
                    <w14:schemeClr w14:val="tx1"/>
                  </w14:solidFill>
                </w14:textFill>
              </w:rPr>
              <w:t>分；制度不健全，每少一个制度，扣1分。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2</w:t>
            </w:r>
          </w:p>
        </w:tc>
        <w:tc>
          <w:tcPr>
            <w:tcW w:w="1846" w:type="dxa"/>
            <w:vAlign w:val="center"/>
          </w:tcPr>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建立完善的财务制度（</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8528" w:type="dxa"/>
            <w:vAlign w:val="center"/>
          </w:tcPr>
          <w:p>
            <w:pPr>
              <w:overflowPunct w:val="0"/>
              <w:spacing w:line="300" w:lineRule="exact"/>
              <w:rPr>
                <w:rFonts w:eastAsia="仿宋_GB2312"/>
                <w:color w:val="000000" w:themeColor="text1"/>
                <w:spacing w:val="-4"/>
                <w:sz w:val="24"/>
                <w14:textFill>
                  <w14:solidFill>
                    <w14:schemeClr w14:val="tx1"/>
                  </w14:solidFill>
                </w14:textFill>
              </w:rPr>
            </w:pPr>
            <w:r>
              <w:rPr>
                <w:rFonts w:eastAsia="仿宋_GB2312"/>
                <w:color w:val="000000" w:themeColor="text1"/>
                <w:spacing w:val="-4"/>
                <w:sz w:val="24"/>
                <w14:textFill>
                  <w14:solidFill>
                    <w14:schemeClr w14:val="tx1"/>
                  </w14:solidFill>
                </w14:textFill>
              </w:rPr>
              <w:t>根据会计制度的规定建立相应的会计账目和“进、销、存”电算化管理的明细账目，未建立</w:t>
            </w:r>
            <w:r>
              <w:rPr>
                <w:rFonts w:hint="eastAsia" w:eastAsia="仿宋_GB2312"/>
                <w:color w:val="000000" w:themeColor="text1"/>
                <w:spacing w:val="-4"/>
                <w:sz w:val="24"/>
                <w14:textFill>
                  <w14:solidFill>
                    <w14:schemeClr w14:val="tx1"/>
                  </w14:solidFill>
                </w14:textFill>
              </w:rPr>
              <w:t>，</w:t>
            </w:r>
            <w:r>
              <w:rPr>
                <w:rFonts w:eastAsia="仿宋_GB2312"/>
                <w:color w:val="000000" w:themeColor="text1"/>
                <w:spacing w:val="-4"/>
                <w:sz w:val="24"/>
                <w14:textFill>
                  <w14:solidFill>
                    <w14:schemeClr w14:val="tx1"/>
                  </w14:solidFill>
                </w14:textFill>
              </w:rPr>
              <w:t>此项不得</w:t>
            </w:r>
            <w:r>
              <w:rPr>
                <w:rFonts w:hint="eastAsia" w:eastAsia="仿宋_GB2312"/>
                <w:color w:val="000000" w:themeColor="text1"/>
                <w:spacing w:val="-4"/>
                <w:sz w:val="24"/>
                <w14:textFill>
                  <w14:solidFill>
                    <w14:schemeClr w14:val="tx1"/>
                  </w14:solidFill>
                </w14:textFill>
              </w:rPr>
              <w:t>分；</w:t>
            </w:r>
            <w:r>
              <w:rPr>
                <w:rFonts w:eastAsia="仿宋_GB2312"/>
                <w:color w:val="000000" w:themeColor="text1"/>
                <w:spacing w:val="-4"/>
                <w:sz w:val="24"/>
                <w14:textFill>
                  <w14:solidFill>
                    <w14:schemeClr w14:val="tx1"/>
                  </w14:solidFill>
                </w14:textFill>
              </w:rPr>
              <w:t>制度执行不到位，未做到账账相符、账实相符，发现一例扣1分。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86"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3</w:t>
            </w:r>
          </w:p>
        </w:tc>
        <w:tc>
          <w:tcPr>
            <w:tcW w:w="1846" w:type="dxa"/>
            <w:vAlign w:val="center"/>
          </w:tcPr>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建立完善的统计信息管理制度（</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8528" w:type="dxa"/>
            <w:vAlign w:val="center"/>
          </w:tcPr>
          <w:p>
            <w:pPr>
              <w:overflowPunct w:val="0"/>
              <w:spacing w:line="300" w:lineRule="exact"/>
              <w:rPr>
                <w:rFonts w:eastAsia="仿宋_GB2312"/>
                <w:color w:val="000000" w:themeColor="text1"/>
                <w:spacing w:val="-4"/>
                <w:sz w:val="24"/>
                <w14:textFill>
                  <w14:solidFill>
                    <w14:schemeClr w14:val="tx1"/>
                  </w14:solidFill>
                </w14:textFill>
              </w:rPr>
            </w:pPr>
            <w:r>
              <w:rPr>
                <w:rFonts w:eastAsia="仿宋_GB2312"/>
                <w:color w:val="000000" w:themeColor="text1"/>
                <w:spacing w:val="-4"/>
                <w:sz w:val="24"/>
                <w14:textFill>
                  <w14:solidFill>
                    <w14:schemeClr w14:val="tx1"/>
                  </w14:solidFill>
                </w14:textFill>
              </w:rPr>
              <w:t>按要求做好医疗机构信息库、药品目录库（包括西药、中成药、中药饮片）、诊疗项目目录库、诊疗耗材目录库、疾病编码目录库、手术编码目录库、医保医师信息库等标准数据库基础信息的维护工作。发现未及时按要求维护的情况，1例扣</w:t>
            </w:r>
            <w:r>
              <w:rPr>
                <w:rFonts w:hint="eastAsia" w:eastAsia="仿宋_GB2312"/>
                <w:color w:val="000000" w:themeColor="text1"/>
                <w:spacing w:val="-4"/>
                <w:sz w:val="24"/>
                <w14:textFill>
                  <w14:solidFill>
                    <w14:schemeClr w14:val="tx1"/>
                  </w14:solidFill>
                </w14:textFill>
              </w:rPr>
              <w:t>1</w:t>
            </w:r>
            <w:r>
              <w:rPr>
                <w:rFonts w:eastAsia="仿宋_GB2312"/>
                <w:color w:val="000000" w:themeColor="text1"/>
                <w:spacing w:val="-4"/>
                <w:sz w:val="24"/>
                <w14:textFill>
                  <w14:solidFill>
                    <w14:schemeClr w14:val="tx1"/>
                  </w14:solidFill>
                </w14:textFill>
              </w:rPr>
              <w:t>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11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4</w:t>
            </w:r>
          </w:p>
        </w:tc>
        <w:tc>
          <w:tcPr>
            <w:tcW w:w="1846" w:type="dxa"/>
            <w:vAlign w:val="center"/>
          </w:tcPr>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建立完善的医疗质量安全核心制度（</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8528" w:type="dxa"/>
            <w:vAlign w:val="center"/>
          </w:tcPr>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根据首诊负责制度等18项医疗质量安全核心制度要求，结合实际，建立完善本机构</w:t>
            </w:r>
            <w:r>
              <w:rPr>
                <w:rFonts w:hint="eastAsia" w:eastAsia="仿宋_GB2312"/>
                <w:color w:val="000000" w:themeColor="text1"/>
                <w:sz w:val="24"/>
                <w14:textFill>
                  <w14:solidFill>
                    <w14:schemeClr w14:val="tx1"/>
                  </w14:solidFill>
                </w14:textFill>
              </w:rPr>
              <w:t>的</w:t>
            </w:r>
            <w:r>
              <w:rPr>
                <w:rFonts w:eastAsia="仿宋_GB2312"/>
                <w:color w:val="000000" w:themeColor="text1"/>
                <w:sz w:val="24"/>
                <w14:textFill>
                  <w14:solidFill>
                    <w14:schemeClr w14:val="tx1"/>
                  </w14:solidFill>
                </w14:textFill>
              </w:rPr>
              <w:t>核心制度、配套文件和工作流程。未建立制度</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此项不得分；制度不健全，扣</w:t>
            </w:r>
            <w:r>
              <w:rPr>
                <w:rFonts w:hint="eastAsia" w:eastAsia="仿宋_GB2312"/>
                <w:color w:val="000000" w:themeColor="text1"/>
                <w:sz w:val="24"/>
                <w14:textFill>
                  <w14:solidFill>
                    <w14:schemeClr w14:val="tx1"/>
                  </w14:solidFill>
                </w14:textFill>
              </w:rPr>
              <w:t>3</w:t>
            </w:r>
            <w:r>
              <w:rPr>
                <w:rFonts w:eastAsia="仿宋_GB2312"/>
                <w:color w:val="000000" w:themeColor="text1"/>
                <w:sz w:val="24"/>
                <w14:textFill>
                  <w14:solidFill>
                    <w14:schemeClr w14:val="tx1"/>
                  </w14:solidFill>
                </w14:textFill>
              </w:rPr>
              <w:t>分；制度执行不到位，扣</w:t>
            </w:r>
            <w:r>
              <w:rPr>
                <w:rFonts w:hint="eastAsia" w:eastAsia="仿宋_GB2312"/>
                <w:color w:val="000000" w:themeColor="text1"/>
                <w:sz w:val="24"/>
                <w14:textFill>
                  <w14:solidFill>
                    <w14:schemeClr w14:val="tx1"/>
                  </w14:solidFill>
                </w14:textFill>
              </w:rPr>
              <w:t>3</w:t>
            </w:r>
            <w:r>
              <w:rPr>
                <w:rFonts w:eastAsia="仿宋_GB2312"/>
                <w:color w:val="000000" w:themeColor="text1"/>
                <w:sz w:val="24"/>
                <w14:textFill>
                  <w14:solidFill>
                    <w14:schemeClr w14:val="tx1"/>
                  </w14:solidFill>
                </w14:textFill>
              </w:rPr>
              <w:t>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5</w:t>
            </w:r>
          </w:p>
        </w:tc>
        <w:tc>
          <w:tcPr>
            <w:tcW w:w="1846" w:type="dxa"/>
            <w:vAlign w:val="center"/>
          </w:tcPr>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配备医保要求的硬件装置（</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8528" w:type="dxa"/>
            <w:vAlign w:val="center"/>
          </w:tcPr>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配备相关医保电子凭证设备、医保联网设施设备，并与其它网络间有安全隔离措施，与互联网物理隔离。未按要求配备，</w:t>
            </w:r>
            <w:r>
              <w:rPr>
                <w:rFonts w:hint="eastAsia" w:eastAsia="仿宋_GB2312"/>
                <w:color w:val="000000" w:themeColor="text1"/>
                <w:sz w:val="24"/>
                <w14:textFill>
                  <w14:solidFill>
                    <w14:schemeClr w14:val="tx1"/>
                  </w14:solidFill>
                </w14:textFill>
              </w:rPr>
              <w:t>此项不得</w:t>
            </w:r>
            <w:r>
              <w:rPr>
                <w:rFonts w:eastAsia="仿宋_GB2312"/>
                <w:color w:val="000000" w:themeColor="text1"/>
                <w:sz w:val="24"/>
                <w14:textFill>
                  <w14:solidFill>
                    <w14:schemeClr w14:val="tx1"/>
                  </w14:solidFill>
                </w14:textFill>
              </w:rPr>
              <w:t>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147"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6</w:t>
            </w:r>
          </w:p>
        </w:tc>
        <w:tc>
          <w:tcPr>
            <w:tcW w:w="1846" w:type="dxa"/>
            <w:vAlign w:val="center"/>
          </w:tcPr>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建立规范的药品、医用材料进货管理制度</w:t>
            </w:r>
          </w:p>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（10分）</w:t>
            </w:r>
          </w:p>
        </w:tc>
        <w:tc>
          <w:tcPr>
            <w:tcW w:w="8528" w:type="dxa"/>
            <w:vAlign w:val="center"/>
          </w:tcPr>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药品购进记录必须注明药品的通用名称、生产厂商（中药材标明产地）、剂型、规格、批号、生产日期、有效期、批准文号、供货单位、数量、价格、购进日期。药品、器械、耗材等所有经营品种购进、销售均应纳入“进、销、存”电算化管理（包括厂家赠品），并将购、销明细如实录入“进、销、存”电算化管理信息系统。未建立制度扣10分；购进记录缺少一个字段的，扣2分；</w:t>
            </w:r>
            <w:r>
              <w:rPr>
                <w:rFonts w:hAnsi="仿宋_GB2312" w:eastAsia="仿宋_GB2312"/>
                <w:color w:val="000000" w:themeColor="text1"/>
                <w:sz w:val="24"/>
                <w14:textFill>
                  <w14:solidFill>
                    <w14:schemeClr w14:val="tx1"/>
                  </w14:solidFill>
                </w14:textFill>
              </w:rPr>
              <w:t>经营品种缺失一例的，扣</w:t>
            </w:r>
            <w:r>
              <w:rPr>
                <w:rFonts w:eastAsia="仿宋_GB2312"/>
                <w:color w:val="000000" w:themeColor="text1"/>
                <w:sz w:val="24"/>
                <w14:textFill>
                  <w14:solidFill>
                    <w14:schemeClr w14:val="tx1"/>
                  </w14:solidFill>
                </w14:textFill>
              </w:rPr>
              <w:t>2</w:t>
            </w:r>
            <w:r>
              <w:rPr>
                <w:rFonts w:hAnsi="仿宋_GB2312" w:eastAsia="仿宋_GB2312"/>
                <w:color w:val="000000" w:themeColor="text1"/>
                <w:sz w:val="24"/>
                <w14:textFill>
                  <w14:solidFill>
                    <w14:schemeClr w14:val="tx1"/>
                  </w14:solidFill>
                </w14:textFill>
              </w:rPr>
              <w:t>分</w:t>
            </w:r>
            <w:r>
              <w:rPr>
                <w:rFonts w:eastAsia="仿宋_GB2312"/>
                <w:color w:val="000000" w:themeColor="text1"/>
                <w:sz w:val="24"/>
                <w14:textFill>
                  <w14:solidFill>
                    <w14:schemeClr w14:val="tx1"/>
                  </w14:solidFill>
                </w14:textFill>
              </w:rPr>
              <w:t>；未如实录入一例的，扣2分。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701" w:type="dxa"/>
            <w:vMerge w:val="restart"/>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b/>
                <w:bCs/>
                <w:color w:val="000000" w:themeColor="text1"/>
                <w:sz w:val="24"/>
                <w14:textFill>
                  <w14:solidFill>
                    <w14:schemeClr w14:val="tx1"/>
                  </w14:solidFill>
                </w14:textFill>
              </w:rPr>
              <w:t>评估</w:t>
            </w:r>
            <w:r>
              <w:rPr>
                <w:rFonts w:eastAsia="仿宋_GB2312"/>
                <w:b/>
                <w:bCs/>
                <w:color w:val="000000" w:themeColor="text1"/>
                <w:sz w:val="24"/>
                <w14:textFill>
                  <w14:solidFill>
                    <w14:schemeClr w14:val="tx1"/>
                  </w14:solidFill>
                </w14:textFill>
              </w:rPr>
              <w:t>指标</w:t>
            </w:r>
          </w:p>
        </w:tc>
        <w:tc>
          <w:tcPr>
            <w:tcW w:w="562" w:type="dxa"/>
            <w:tcBorders>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7</w:t>
            </w:r>
          </w:p>
        </w:tc>
        <w:tc>
          <w:tcPr>
            <w:tcW w:w="1846" w:type="dxa"/>
            <w:vAlign w:val="center"/>
          </w:tcPr>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开展医保政策宣传（5分）</w:t>
            </w:r>
          </w:p>
        </w:tc>
        <w:tc>
          <w:tcPr>
            <w:tcW w:w="8528" w:type="dxa"/>
            <w:vAlign w:val="center"/>
          </w:tcPr>
          <w:p>
            <w:pPr>
              <w:overflowPunct w:val="0"/>
              <w:spacing w:line="30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设立宣传栏、电子屏等向就医的参保人员宣传医保政策、就医流程等。未设立或未宣传扣5分</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宣传方式和内容不规范的，扣3分。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8</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保证参保人员知情同意权（5分）</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公开药品、服务项目和材料的价格，能向参保人员提供门诊、住院费用结算清单和住院日费用清单，未公开扣3分</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公开但提供不到位酌情扣2分。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9</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设置监控设备（10分）</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在收费结算处等公共场所安装监控设备，确保正常使用，角度正确，能清晰辨认出参保人员面部特征，并能提供营业期间不少于三个月不间断的监控影像资料。未安装</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此项</w:t>
            </w:r>
            <w:r>
              <w:rPr>
                <w:rFonts w:hint="eastAsia" w:eastAsia="仿宋_GB2312"/>
                <w:color w:val="000000" w:themeColor="text1"/>
                <w:sz w:val="24"/>
                <w14:textFill>
                  <w14:solidFill>
                    <w14:schemeClr w14:val="tx1"/>
                  </w14:solidFill>
                </w14:textFill>
              </w:rPr>
              <w:t>不得分</w:t>
            </w:r>
            <w:r>
              <w:rPr>
                <w:rFonts w:eastAsia="仿宋_GB2312"/>
                <w:color w:val="000000" w:themeColor="text1"/>
                <w:sz w:val="24"/>
                <w14:textFill>
                  <w14:solidFill>
                    <w14:schemeClr w14:val="tx1"/>
                  </w14:solidFill>
                </w14:textFill>
              </w:rPr>
              <w:t>，使用不正常或不能提供</w:t>
            </w:r>
            <w:r>
              <w:rPr>
                <w:rFonts w:hint="eastAsia" w:eastAsia="仿宋_GB2312"/>
                <w:color w:val="000000" w:themeColor="text1"/>
                <w:sz w:val="24"/>
                <w14:textFill>
                  <w14:solidFill>
                    <w14:schemeClr w14:val="tx1"/>
                  </w14:solidFill>
                </w14:textFill>
              </w:rPr>
              <w:t>完整</w:t>
            </w:r>
            <w:r>
              <w:rPr>
                <w:rFonts w:eastAsia="仿宋_GB2312"/>
                <w:color w:val="000000" w:themeColor="text1"/>
                <w:sz w:val="24"/>
                <w14:textFill>
                  <w14:solidFill>
                    <w14:schemeClr w14:val="tx1"/>
                  </w14:solidFill>
                </w14:textFill>
              </w:rPr>
              <w:t>影像资料，扣</w:t>
            </w:r>
            <w:r>
              <w:rPr>
                <w:rFonts w:hint="eastAsia" w:eastAsia="仿宋_GB2312"/>
                <w:color w:val="000000" w:themeColor="text1"/>
                <w:sz w:val="24"/>
                <w14:textFill>
                  <w14:solidFill>
                    <w14:schemeClr w14:val="tx1"/>
                  </w14:solidFill>
                </w14:textFill>
              </w:rPr>
              <w:t>3</w:t>
            </w:r>
            <w:r>
              <w:rPr>
                <w:rFonts w:eastAsia="仿宋_GB2312"/>
                <w:color w:val="000000" w:themeColor="text1"/>
                <w:sz w:val="24"/>
                <w14:textFill>
                  <w14:solidFill>
                    <w14:schemeClr w14:val="tx1"/>
                  </w14:solidFill>
                </w14:textFill>
              </w:rPr>
              <w:t>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0</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对医保基金影响的预测性分析</w:t>
            </w:r>
          </w:p>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（5分）</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纳入定点后对医保基金影响的预测性分析报告应客观、正确，符合医疗机构规模、经营收入和医保基金利用等实际情况。</w:t>
            </w:r>
            <w:r>
              <w:rPr>
                <w:rFonts w:hAnsi="仿宋_GB2312" w:eastAsia="仿宋_GB2312"/>
                <w:color w:val="000000" w:themeColor="text1"/>
                <w:kern w:val="0"/>
                <w:sz w:val="24"/>
                <w14:textFill>
                  <w14:solidFill>
                    <w14:schemeClr w14:val="tx1"/>
                  </w14:solidFill>
                </w14:textFill>
              </w:rPr>
              <w:t>未提供预测性分析报告</w:t>
            </w:r>
            <w:r>
              <w:rPr>
                <w:rFonts w:hint="eastAsia" w:hAnsi="仿宋_GB2312" w:eastAsia="仿宋_GB2312"/>
                <w:color w:val="000000" w:themeColor="text1"/>
                <w:kern w:val="0"/>
                <w:sz w:val="24"/>
                <w14:textFill>
                  <w14:solidFill>
                    <w14:schemeClr w14:val="tx1"/>
                  </w14:solidFill>
                </w14:textFill>
              </w:rPr>
              <w:t>、</w:t>
            </w:r>
            <w:r>
              <w:rPr>
                <w:rFonts w:eastAsia="仿宋_GB2312"/>
                <w:color w:val="000000" w:themeColor="text1"/>
                <w:sz w:val="24"/>
                <w14:textFill>
                  <w14:solidFill>
                    <w14:schemeClr w14:val="tx1"/>
                  </w14:solidFill>
                </w14:textFill>
              </w:rPr>
              <w:t>预测性分析报告不符合实际情况的</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扣</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1</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场所布局（</w:t>
            </w:r>
            <w:r>
              <w:rPr>
                <w:rFonts w:hint="eastAsia" w:eastAsia="仿宋_GB2312"/>
                <w:color w:val="000000" w:themeColor="text1"/>
                <w:sz w:val="24"/>
                <w14:textFill>
                  <w14:solidFill>
                    <w14:schemeClr w14:val="tx1"/>
                  </w14:solidFill>
                </w14:textFill>
              </w:rPr>
              <w:t>10</w:t>
            </w:r>
            <w:r>
              <w:rPr>
                <w:rFonts w:eastAsia="仿宋_GB2312"/>
                <w:color w:val="000000" w:themeColor="text1"/>
                <w:sz w:val="24"/>
                <w14:textFill>
                  <w14:solidFill>
                    <w14:schemeClr w14:val="tx1"/>
                  </w14:solidFill>
                </w14:textFill>
              </w:rPr>
              <w:t>分）</w:t>
            </w:r>
          </w:p>
        </w:tc>
        <w:tc>
          <w:tcPr>
            <w:tcW w:w="8528" w:type="dxa"/>
            <w:vAlign w:val="center"/>
          </w:tcPr>
          <w:p>
            <w:pPr>
              <w:pStyle w:val="10"/>
              <w:widowControl/>
              <w:overflowPunct w:val="0"/>
              <w:autoSpaceDE/>
              <w:autoSpaceDN/>
              <w:spacing w:line="360" w:lineRule="exact"/>
              <w:jc w:val="both"/>
              <w:rPr>
                <w:rFonts w:ascii="Times New Roman" w:hAnsi="Times New Roman" w:eastAsia="仿宋_GB2312"/>
                <w:color w:val="000000" w:themeColor="text1"/>
                <w:spacing w:val="-4"/>
                <w:kern w:val="2"/>
                <w14:textFill>
                  <w14:solidFill>
                    <w14:schemeClr w14:val="tx1"/>
                  </w14:solidFill>
                </w14:textFill>
              </w:rPr>
            </w:pPr>
            <w:r>
              <w:rPr>
                <w:rFonts w:ascii="Times New Roman" w:hAnsi="Times New Roman" w:eastAsia="仿宋_GB2312"/>
                <w:color w:val="000000" w:themeColor="text1"/>
                <w:kern w:val="2"/>
                <w14:textFill>
                  <w14:solidFill>
                    <w14:schemeClr w14:val="tx1"/>
                  </w14:solidFill>
                </w14:textFill>
              </w:rPr>
              <w:t>与相近定点医疗机构的最小行径间距大于500米的</w:t>
            </w:r>
            <w:r>
              <w:rPr>
                <w:rFonts w:hint="eastAsia" w:ascii="Times New Roman" w:hAnsi="Times New Roman" w:eastAsia="仿宋_GB2312"/>
                <w:color w:val="000000" w:themeColor="text1"/>
                <w:kern w:val="2"/>
                <w14:textFill>
                  <w14:solidFill>
                    <w14:schemeClr w14:val="tx1"/>
                  </w14:solidFill>
                </w14:textFill>
              </w:rPr>
              <w:t>，</w:t>
            </w:r>
            <w:r>
              <w:rPr>
                <w:rFonts w:ascii="Times New Roman" w:hAnsi="Times New Roman" w:eastAsia="仿宋_GB2312"/>
                <w:color w:val="000000" w:themeColor="text1"/>
                <w:kern w:val="2"/>
                <w14:textFill>
                  <w14:solidFill>
                    <w14:schemeClr w14:val="tx1"/>
                  </w14:solidFill>
                </w14:textFill>
              </w:rPr>
              <w:t>加2分；大于1000米的</w:t>
            </w:r>
            <w:r>
              <w:rPr>
                <w:rFonts w:hint="eastAsia" w:ascii="Times New Roman" w:hAnsi="Times New Roman" w:eastAsia="仿宋_GB2312"/>
                <w:color w:val="000000" w:themeColor="text1"/>
                <w:kern w:val="2"/>
                <w14:textFill>
                  <w14:solidFill>
                    <w14:schemeClr w14:val="tx1"/>
                  </w14:solidFill>
                </w14:textFill>
              </w:rPr>
              <w:t>，</w:t>
            </w:r>
            <w:r>
              <w:rPr>
                <w:rFonts w:ascii="Times New Roman" w:hAnsi="Times New Roman" w:eastAsia="仿宋_GB2312"/>
                <w:color w:val="000000" w:themeColor="text1"/>
                <w:kern w:val="2"/>
                <w14:textFill>
                  <w14:solidFill>
                    <w14:schemeClr w14:val="tx1"/>
                  </w14:solidFill>
                </w14:textFill>
              </w:rPr>
              <w:t>加5分</w:t>
            </w:r>
            <w:r>
              <w:rPr>
                <w:rFonts w:hint="eastAsia" w:ascii="Times New Roman" w:hAnsi="Times New Roman" w:eastAsia="仿宋_GB2312"/>
                <w:color w:val="000000" w:themeColor="text1"/>
                <w:kern w:val="2"/>
                <w14:textFill>
                  <w14:solidFill>
                    <w14:schemeClr w14:val="tx1"/>
                  </w14:solidFill>
                </w14:textFill>
              </w:rPr>
              <w:t>；大于2000米的，加10分。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2</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场所面积（5分）</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建筑面积500平方米及以上加2分；1000平方米及以上加5分。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4"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3</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经营范围（5分）</w:t>
            </w:r>
          </w:p>
        </w:tc>
        <w:tc>
          <w:tcPr>
            <w:tcW w:w="8528" w:type="dxa"/>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服务场所内不同时出售保健品、食品、日用品、化妆品的，加5分。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4</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第一执业点医师数量（</w:t>
            </w:r>
            <w:r>
              <w:rPr>
                <w:rFonts w:hint="eastAsia" w:eastAsia="仿宋_GB2312"/>
                <w:color w:val="000000" w:themeColor="text1"/>
                <w:sz w:val="24"/>
                <w14:textFill>
                  <w14:solidFill>
                    <w14:schemeClr w14:val="tx1"/>
                  </w14:solidFill>
                </w14:textFill>
              </w:rPr>
              <w:t>10</w:t>
            </w:r>
            <w:r>
              <w:rPr>
                <w:rFonts w:eastAsia="仿宋_GB2312"/>
                <w:color w:val="000000" w:themeColor="text1"/>
                <w:sz w:val="24"/>
                <w14:textFill>
                  <w14:solidFill>
                    <w14:schemeClr w14:val="tx1"/>
                  </w14:solidFill>
                </w14:textFill>
              </w:rPr>
              <w:t>分）</w:t>
            </w:r>
          </w:p>
        </w:tc>
        <w:tc>
          <w:tcPr>
            <w:tcW w:w="8528" w:type="dxa"/>
            <w:vAlign w:val="center"/>
          </w:tcPr>
          <w:p>
            <w:pPr>
              <w:pStyle w:val="10"/>
              <w:overflowPunct w:val="0"/>
              <w:autoSpaceDE/>
              <w:autoSpaceDN/>
              <w:spacing w:line="360" w:lineRule="exact"/>
              <w:jc w:val="both"/>
              <w:rPr>
                <w:rFonts w:ascii="Times New Roman" w:hAnsi="Times New Roman" w:eastAsia="仿宋_GB2312"/>
                <w:color w:val="000000" w:themeColor="text1"/>
                <w:kern w:val="2"/>
                <w14:textFill>
                  <w14:solidFill>
                    <w14:schemeClr w14:val="tx1"/>
                  </w14:solidFill>
                </w14:textFill>
              </w:rPr>
            </w:pPr>
            <w:r>
              <w:rPr>
                <w:rFonts w:eastAsia="仿宋_GB2312"/>
                <w:color w:val="000000" w:themeColor="text1"/>
                <w14:textFill>
                  <w14:solidFill>
                    <w14:schemeClr w14:val="tx1"/>
                  </w14:solidFill>
                </w14:textFill>
              </w:rPr>
              <w:t>第一执业点注册于该医疗机构的医师（连续在本单位参保</w:t>
            </w:r>
            <w:r>
              <w:rPr>
                <w:rFonts w:hint="eastAsia"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t>注册</w:t>
            </w:r>
            <w:r>
              <w:rPr>
                <w:rFonts w:hint="eastAsia" w:eastAsia="仿宋_GB2312"/>
                <w:color w:val="000000" w:themeColor="text1"/>
                <w14:textFill>
                  <w14:solidFill>
                    <w14:schemeClr w14:val="tx1"/>
                  </w14:solidFill>
                </w14:textFill>
              </w:rPr>
              <w:t>和</w:t>
            </w:r>
            <w:r>
              <w:rPr>
                <w:rFonts w:eastAsia="仿宋_GB2312"/>
                <w:color w:val="000000" w:themeColor="text1"/>
                <w14:textFill>
                  <w14:solidFill>
                    <w14:schemeClr w14:val="tx1"/>
                  </w14:solidFill>
                </w14:textFill>
              </w:rPr>
              <w:t>执业满三个月及以上，退休返聘除外）达到2人</w:t>
            </w:r>
            <w:r>
              <w:rPr>
                <w:rFonts w:hint="eastAsia" w:eastAsia="仿宋_GB2312"/>
                <w:color w:val="000000" w:themeColor="text1"/>
                <w14:textFill>
                  <w14:solidFill>
                    <w14:schemeClr w14:val="tx1"/>
                  </w14:solidFill>
                </w14:textFill>
              </w:rPr>
              <w:t>的加3分；</w:t>
            </w:r>
            <w:r>
              <w:rPr>
                <w:rFonts w:eastAsia="仿宋_GB2312"/>
                <w:color w:val="000000" w:themeColor="text1"/>
                <w14:textFill>
                  <w14:solidFill>
                    <w14:schemeClr w14:val="tx1"/>
                  </w14:solidFill>
                </w14:textFill>
              </w:rPr>
              <w:t>每增加一名加1分，最高不超过</w:t>
            </w:r>
            <w:r>
              <w:rPr>
                <w:rFonts w:hint="eastAsia" w:eastAsia="仿宋_GB2312"/>
                <w:color w:val="000000" w:themeColor="text1"/>
                <w14:textFill>
                  <w14:solidFill>
                    <w14:schemeClr w14:val="tx1"/>
                  </w14:solidFill>
                </w14:textFill>
              </w:rPr>
              <w:t>10</w:t>
            </w:r>
            <w:r>
              <w:rPr>
                <w:rFonts w:eastAsia="仿宋_GB2312"/>
                <w:color w:val="000000" w:themeColor="text1"/>
                <w14:textFill>
                  <w14:solidFill>
                    <w14:schemeClr w14:val="tx1"/>
                  </w14:solidFill>
                </w14:textFill>
              </w:rPr>
              <w:t>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15</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医保药品备药率（</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8528" w:type="dxa"/>
            <w:vAlign w:val="center"/>
          </w:tcPr>
          <w:p>
            <w:pPr>
              <w:pStyle w:val="10"/>
              <w:overflowPunct w:val="0"/>
              <w:autoSpaceDE/>
              <w:autoSpaceDN/>
              <w:spacing w:line="360" w:lineRule="exact"/>
              <w:jc w:val="both"/>
              <w:rPr>
                <w:rFonts w:ascii="Times New Roman" w:hAnsi="Times New Roman" w:eastAsia="仿宋_GB2312"/>
                <w:color w:val="000000" w:themeColor="text1"/>
                <w:kern w:val="2"/>
                <w14:textFill>
                  <w14:solidFill>
                    <w14:schemeClr w14:val="tx1"/>
                  </w14:solidFill>
                </w14:textFill>
              </w:rPr>
            </w:pPr>
            <w:r>
              <w:rPr>
                <w:rFonts w:ascii="Times New Roman" w:hAnsi="Times New Roman" w:eastAsia="仿宋_GB2312"/>
                <w:color w:val="000000" w:themeColor="text1"/>
                <w:kern w:val="2"/>
                <w14:textFill>
                  <w14:solidFill>
                    <w14:schemeClr w14:val="tx1"/>
                  </w14:solidFill>
                </w14:textFill>
              </w:rPr>
              <w:t>配备省招采平台目录范围内的医保药品，每增加1种加0.1分，最高加</w:t>
            </w:r>
            <w:r>
              <w:rPr>
                <w:rFonts w:hint="eastAsia" w:ascii="Times New Roman" w:hAnsi="Times New Roman" w:eastAsia="仿宋_GB2312"/>
                <w:color w:val="000000" w:themeColor="text1"/>
                <w:kern w:val="2"/>
                <w14:textFill>
                  <w14:solidFill>
                    <w14:schemeClr w14:val="tx1"/>
                  </w14:solidFill>
                </w14:textFill>
              </w:rPr>
              <w:t>3</w:t>
            </w:r>
            <w:r>
              <w:rPr>
                <w:rFonts w:ascii="Times New Roman" w:hAnsi="Times New Roman" w:eastAsia="仿宋_GB2312"/>
                <w:color w:val="000000" w:themeColor="text1"/>
                <w:kern w:val="2"/>
                <w14:textFill>
                  <w14:solidFill>
                    <w14:schemeClr w14:val="tx1"/>
                  </w14:solidFill>
                </w14:textFill>
              </w:rPr>
              <w:t>分。配备国谈药品，每增加1种加0.1分，最高加</w:t>
            </w:r>
            <w:r>
              <w:rPr>
                <w:rFonts w:hint="eastAsia" w:ascii="Times New Roman" w:hAnsi="Times New Roman" w:eastAsia="仿宋_GB2312"/>
                <w:color w:val="000000" w:themeColor="text1"/>
                <w:kern w:val="2"/>
                <w14:textFill>
                  <w14:solidFill>
                    <w14:schemeClr w14:val="tx1"/>
                  </w14:solidFill>
                </w14:textFill>
              </w:rPr>
              <w:t>2</w:t>
            </w:r>
            <w:r>
              <w:rPr>
                <w:rFonts w:ascii="Times New Roman" w:hAnsi="Times New Roman" w:eastAsia="仿宋_GB2312"/>
                <w:color w:val="000000" w:themeColor="text1"/>
                <w:kern w:val="2"/>
                <w14:textFill>
                  <w14:solidFill>
                    <w14:schemeClr w14:val="tx1"/>
                  </w14:solidFill>
                </w14:textFill>
              </w:rPr>
              <w:t>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701" w:type="dxa"/>
            <w:vMerge w:val="continue"/>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16</w:t>
            </w:r>
          </w:p>
        </w:tc>
        <w:tc>
          <w:tcPr>
            <w:tcW w:w="1846" w:type="dxa"/>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医保目录诊疗服务占比</w:t>
            </w:r>
            <w:r>
              <w:rPr>
                <w:rFonts w:hint="eastAsia" w:eastAsia="仿宋_GB2312"/>
                <w:color w:val="000000" w:themeColor="text1"/>
                <w:kern w:val="0"/>
                <w:sz w:val="24"/>
                <w14:textFill>
                  <w14:solidFill>
                    <w14:schemeClr w14:val="tx1"/>
                  </w14:solidFill>
                </w14:textFill>
              </w:rPr>
              <w:t>（5分）</w:t>
            </w:r>
          </w:p>
        </w:tc>
        <w:tc>
          <w:tcPr>
            <w:tcW w:w="8528" w:type="dxa"/>
            <w:vAlign w:val="center"/>
          </w:tcPr>
          <w:p>
            <w:pPr>
              <w:pStyle w:val="10"/>
              <w:overflowPunct w:val="0"/>
              <w:autoSpaceDE/>
              <w:autoSpaceDN/>
              <w:spacing w:line="360" w:lineRule="exact"/>
              <w:jc w:val="both"/>
              <w:rPr>
                <w:rFonts w:ascii="Times New Roman" w:hAnsi="Times New Roman" w:eastAsia="仿宋_GB2312"/>
                <w:color w:val="000000" w:themeColor="text1"/>
                <w:kern w:val="2"/>
                <w14:textFill>
                  <w14:solidFill>
                    <w14:schemeClr w14:val="tx1"/>
                  </w14:solidFill>
                </w14:textFill>
              </w:rPr>
            </w:pPr>
            <w:r>
              <w:rPr>
                <w:rFonts w:hint="eastAsia" w:ascii="Times New Roman" w:hAnsi="Times New Roman" w:eastAsia="仿宋_GB2312"/>
                <w:color w:val="000000" w:themeColor="text1"/>
                <w:kern w:val="2"/>
                <w14:textFill>
                  <w14:solidFill>
                    <w14:schemeClr w14:val="tx1"/>
                  </w14:solidFill>
                </w14:textFill>
              </w:rPr>
              <w:t>已开展的医疗服务项目中，医保目录内服务项目所占比例达</w:t>
            </w:r>
            <w:r>
              <w:rPr>
                <w:rFonts w:hint="eastAsia" w:ascii="Times New Roman" w:hAnsi="Times New Roman" w:eastAsia="仿宋_GB2312" w:cs="Times New Roman"/>
                <w:color w:val="000000" w:themeColor="text1"/>
                <w14:textFill>
                  <w14:solidFill>
                    <w14:schemeClr w14:val="tx1"/>
                  </w14:solidFill>
                </w14:textFill>
              </w:rPr>
              <w:t>60%</w:t>
            </w:r>
            <w:r>
              <w:rPr>
                <w:rFonts w:hint="eastAsia" w:ascii="Times New Roman" w:hAnsi="Times New Roman" w:eastAsia="仿宋_GB2312"/>
                <w:color w:val="000000" w:themeColor="text1"/>
                <w:kern w:val="2"/>
                <w14:textFill>
                  <w14:solidFill>
                    <w14:schemeClr w14:val="tx1"/>
                  </w14:solidFill>
                </w14:textFill>
              </w:rPr>
              <w:t>以上的，加</w:t>
            </w:r>
            <w:r>
              <w:rPr>
                <w:rFonts w:hint="eastAsia" w:ascii="Times New Roman" w:hAnsi="Times New Roman" w:eastAsia="仿宋_GB2312" w:cs="Times New Roman"/>
                <w:color w:val="000000" w:themeColor="text1"/>
                <w14:textFill>
                  <w14:solidFill>
                    <w14:schemeClr w14:val="tx1"/>
                  </w14:solidFill>
                </w14:textFill>
              </w:rPr>
              <w:t>3</w:t>
            </w:r>
            <w:r>
              <w:rPr>
                <w:rFonts w:hint="eastAsia" w:ascii="Times New Roman" w:hAnsi="Times New Roman" w:eastAsia="仿宋_GB2312"/>
                <w:color w:val="000000" w:themeColor="text1"/>
                <w:kern w:val="2"/>
                <w14:textFill>
                  <w14:solidFill>
                    <w14:schemeClr w14:val="tx1"/>
                  </w14:solidFill>
                </w14:textFill>
              </w:rPr>
              <w:t>分；达到</w:t>
            </w:r>
            <w:r>
              <w:rPr>
                <w:rFonts w:hint="eastAsia" w:ascii="Times New Roman" w:hAnsi="Times New Roman" w:eastAsia="仿宋_GB2312" w:cs="Times New Roman"/>
                <w:color w:val="000000" w:themeColor="text1"/>
                <w14:textFill>
                  <w14:solidFill>
                    <w14:schemeClr w14:val="tx1"/>
                  </w14:solidFill>
                </w14:textFill>
              </w:rPr>
              <w:t>80%</w:t>
            </w:r>
            <w:r>
              <w:rPr>
                <w:rFonts w:hint="eastAsia" w:ascii="Times New Roman" w:hAnsi="Times New Roman" w:eastAsia="仿宋_GB2312"/>
                <w:color w:val="000000" w:themeColor="text1"/>
                <w:kern w:val="2"/>
                <w14:textFill>
                  <w14:solidFill>
                    <w14:schemeClr w14:val="tx1"/>
                  </w14:solidFill>
                </w14:textFill>
              </w:rPr>
              <w:t>以上的，加</w:t>
            </w:r>
            <w:r>
              <w:rPr>
                <w:rFonts w:hint="eastAsia" w:ascii="Times New Roman" w:hAnsi="Times New Roman" w:eastAsia="仿宋_GB2312" w:cs="Times New Roman"/>
                <w:color w:val="000000" w:themeColor="text1"/>
                <w14:textFill>
                  <w14:solidFill>
                    <w14:schemeClr w14:val="tx1"/>
                  </w14:solidFill>
                </w14:textFill>
              </w:rPr>
              <w:t>5</w:t>
            </w:r>
            <w:r>
              <w:rPr>
                <w:rFonts w:hint="eastAsia" w:ascii="Times New Roman" w:hAnsi="Times New Roman" w:eastAsia="仿宋_GB2312"/>
                <w:color w:val="000000" w:themeColor="text1"/>
                <w:kern w:val="2"/>
                <w14:textFill>
                  <w14:solidFill>
                    <w14:schemeClr w14:val="tx1"/>
                  </w14:solidFill>
                </w14:textFill>
              </w:rPr>
              <w:t>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701" w:type="dxa"/>
            <w:vAlign w:val="center"/>
          </w:tcPr>
          <w:p>
            <w:pPr>
              <w:overflowPunct w:val="0"/>
              <w:spacing w:line="320" w:lineRule="exact"/>
              <w:jc w:val="center"/>
              <w:rPr>
                <w:rFonts w:eastAsia="仿宋_GB2312"/>
                <w:b/>
                <w:bCs/>
                <w:color w:val="000000" w:themeColor="text1"/>
                <w:sz w:val="24"/>
                <w14:textFill>
                  <w14:solidFill>
                    <w14:schemeClr w14:val="tx1"/>
                  </w14:solidFill>
                </w14:textFill>
              </w:rPr>
            </w:pPr>
          </w:p>
        </w:tc>
        <w:tc>
          <w:tcPr>
            <w:tcW w:w="10936" w:type="dxa"/>
            <w:gridSpan w:val="3"/>
            <w:vAlign w:val="center"/>
          </w:tcPr>
          <w:p>
            <w:pPr>
              <w:overflowPunct w:val="0"/>
              <w:spacing w:line="320" w:lineRule="exact"/>
              <w:jc w:val="center"/>
              <w:rPr>
                <w:rFonts w:eastAsia="仿宋_GB2312"/>
                <w:b/>
                <w:bCs/>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评估指标合计分值：</w:t>
            </w:r>
            <w:r>
              <w:rPr>
                <w:rFonts w:hint="eastAsia" w:eastAsia="仿宋_GB2312"/>
                <w:b/>
                <w:bCs/>
                <w:color w:val="000000" w:themeColor="text1"/>
                <w:sz w:val="24"/>
                <w14:textFill>
                  <w14:solidFill>
                    <w14:schemeClr w14:val="tx1"/>
                  </w14:solidFill>
                </w14:textFill>
              </w:rPr>
              <w:t>100</w:t>
            </w:r>
            <w:r>
              <w:rPr>
                <w:rFonts w:eastAsia="仿宋_GB2312"/>
                <w:b/>
                <w:bCs/>
                <w:color w:val="000000" w:themeColor="text1"/>
                <w:sz w:val="24"/>
                <w14:textFill>
                  <w14:solidFill>
                    <w14:schemeClr w14:val="tx1"/>
                  </w14:solidFill>
                </w14:textFill>
              </w:rPr>
              <w:t>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1637" w:type="dxa"/>
            <w:gridSpan w:val="4"/>
            <w:vAlign w:val="center"/>
          </w:tcPr>
          <w:p>
            <w:pPr>
              <w:overflowPunct w:val="0"/>
              <w:spacing w:line="320" w:lineRule="exact"/>
              <w:jc w:val="center"/>
              <w:rPr>
                <w:rFonts w:eastAsia="仿宋_GB2312"/>
                <w:b/>
                <w:bCs/>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评估指标合计得分：</w:t>
            </w: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bl>
    <w:p>
      <w:pPr>
        <w:spacing w:before="62" w:beforeLines="20" w:line="320" w:lineRule="exact"/>
        <w:ind w:firstLine="480" w:firstLineChars="200"/>
        <w:rPr>
          <w:rFonts w:eastAsia="楷体_GB2312"/>
          <w:color w:val="000000" w:themeColor="text1"/>
          <w:sz w:val="24"/>
          <w14:textFill>
            <w14:solidFill>
              <w14:schemeClr w14:val="tx1"/>
            </w14:solidFill>
          </w14:textFill>
        </w:rPr>
      </w:pPr>
      <w:r>
        <w:rPr>
          <w:rFonts w:eastAsia="楷体_GB2312"/>
          <w:color w:val="000000" w:themeColor="text1"/>
          <w:sz w:val="24"/>
          <w14:textFill>
            <w14:solidFill>
              <w14:schemeClr w14:val="tx1"/>
            </w14:solidFill>
          </w14:textFill>
        </w:rPr>
        <w:t>备注：基础指标有一项不合格，评估结果即为不合格；评估指标合计得分</w:t>
      </w:r>
      <w:r>
        <w:rPr>
          <w:rFonts w:hint="eastAsia" w:eastAsia="楷体_GB2312"/>
          <w:color w:val="000000" w:themeColor="text1"/>
          <w:sz w:val="24"/>
          <w14:textFill>
            <w14:solidFill>
              <w14:schemeClr w14:val="tx1"/>
            </w14:solidFill>
          </w14:textFill>
        </w:rPr>
        <w:t>80</w:t>
      </w:r>
      <w:r>
        <w:rPr>
          <w:rFonts w:eastAsia="楷体_GB2312"/>
          <w:color w:val="000000" w:themeColor="text1"/>
          <w:sz w:val="24"/>
          <w14:textFill>
            <w14:solidFill>
              <w14:schemeClr w14:val="tx1"/>
            </w14:solidFill>
          </w14:textFill>
        </w:rPr>
        <w:t>分以下，评估结果即为不合格。</w:t>
      </w:r>
    </w:p>
    <w:p>
      <w:pPr>
        <w:spacing w:before="62" w:beforeLines="20" w:line="320" w:lineRule="exact"/>
        <w:ind w:firstLine="480" w:firstLineChars="200"/>
        <w:rPr>
          <w:color w:val="000000" w:themeColor="text1"/>
          <w14:textFill>
            <w14:solidFill>
              <w14:schemeClr w14:val="tx1"/>
            </w14:solidFill>
          </w14:textFill>
        </w:rPr>
        <w:sectPr>
          <w:pgSz w:w="16838" w:h="11906" w:orient="landscape"/>
          <w:pgMar w:top="567" w:right="1134" w:bottom="567" w:left="1134" w:header="284" w:footer="624" w:gutter="0"/>
          <w:cols w:space="425" w:num="1"/>
          <w:docGrid w:type="lines" w:linePitch="312" w:charSpace="0"/>
        </w:sectPr>
      </w:pPr>
      <w:r>
        <w:rPr>
          <w:rFonts w:eastAsia="楷体_GB2312"/>
          <w:color w:val="000000" w:themeColor="text1"/>
          <w:sz w:val="24"/>
          <w14:textFill>
            <w14:solidFill>
              <w14:schemeClr w14:val="tx1"/>
            </w14:solidFill>
          </w14:textFill>
        </w:rPr>
        <w:t>现场评估</w:t>
      </w:r>
      <w:r>
        <w:rPr>
          <w:rFonts w:hint="eastAsia" w:eastAsia="楷体_GB2312"/>
          <w:color w:val="000000" w:themeColor="text1"/>
          <w:sz w:val="24"/>
          <w14:textFill>
            <w14:solidFill>
              <w14:schemeClr w14:val="tx1"/>
            </w14:solidFill>
          </w14:textFill>
        </w:rPr>
        <w:t>人员</w:t>
      </w:r>
      <w:r>
        <w:rPr>
          <w:rFonts w:eastAsia="楷体_GB2312"/>
          <w:color w:val="000000" w:themeColor="text1"/>
          <w:sz w:val="24"/>
          <w14:textFill>
            <w14:solidFill>
              <w14:schemeClr w14:val="tx1"/>
            </w14:solidFill>
          </w14:textFill>
        </w:rPr>
        <w:t>签名：</w:t>
      </w:r>
    </w:p>
    <w:p>
      <w:pPr>
        <w:pStyle w:val="2"/>
      </w:pPr>
    </w:p>
    <w:p>
      <w:pPr>
        <w:overflowPunct w:val="0"/>
        <w:adjustRightInd w:val="0"/>
        <w:snapToGrid w:val="0"/>
        <w:spacing w:line="590" w:lineRule="exact"/>
        <w:jc w:val="left"/>
        <w:rPr>
          <w:rFonts w:hAnsi="黑体" w:eastAsia="黑体"/>
          <w:color w:val="000000" w:themeColor="text1"/>
          <w:kern w:val="0"/>
          <w:sz w:val="32"/>
          <w:szCs w:val="32"/>
          <w14:textFill>
            <w14:solidFill>
              <w14:schemeClr w14:val="tx1"/>
            </w14:solidFill>
          </w14:textFill>
        </w:rPr>
      </w:pPr>
      <w:r>
        <w:rPr>
          <w:rFonts w:hAnsi="黑体" w:eastAsia="黑体"/>
          <w:color w:val="000000" w:themeColor="text1"/>
          <w:kern w:val="0"/>
          <w:sz w:val="32"/>
          <w:szCs w:val="32"/>
          <w14:textFill>
            <w14:solidFill>
              <w14:schemeClr w14:val="tx1"/>
            </w14:solidFill>
          </w14:textFill>
        </w:rPr>
        <w:t>附</w:t>
      </w:r>
      <w:r>
        <w:rPr>
          <w:rFonts w:hint="eastAsia" w:hAnsi="黑体" w:eastAsia="黑体"/>
          <w:color w:val="000000" w:themeColor="text1"/>
          <w:kern w:val="0"/>
          <w:sz w:val="32"/>
          <w:szCs w:val="32"/>
          <w14:textFill>
            <w14:solidFill>
              <w14:schemeClr w14:val="tx1"/>
            </w14:solidFill>
          </w14:textFill>
        </w:rPr>
        <w:t>表</w:t>
      </w:r>
      <w:r>
        <w:rPr>
          <w:rFonts w:ascii="Times New Roman" w:hAnsi="Times New Roman" w:eastAsia="黑体" w:cs="Times New Roman"/>
          <w:color w:val="000000" w:themeColor="text1"/>
          <w:kern w:val="0"/>
          <w:sz w:val="32"/>
          <w:szCs w:val="32"/>
          <w14:textFill>
            <w14:solidFill>
              <w14:schemeClr w14:val="tx1"/>
            </w14:solidFill>
          </w14:textFill>
        </w:rPr>
        <w:t>4</w:t>
      </w:r>
    </w:p>
    <w:p>
      <w:pPr>
        <w:overflowPunct w:val="0"/>
        <w:adjustRightInd w:val="0"/>
        <w:snapToGrid w:val="0"/>
        <w:spacing w:before="156" w:beforeLines="50" w:after="156" w:afterLines="50" w:line="590" w:lineRule="exact"/>
        <w:jc w:val="center"/>
        <w:rPr>
          <w:rFonts w:ascii="方正书宋简体" w:hAnsi="宋体" w:eastAsia="方正书宋简体"/>
          <w:b/>
          <w:color w:val="000000" w:themeColor="text1"/>
          <w:spacing w:val="-14"/>
          <w:kern w:val="0"/>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pacing w:val="-14"/>
          <w:kern w:val="0"/>
          <w:sz w:val="44"/>
          <w:szCs w:val="44"/>
          <w14:textFill>
            <w14:solidFill>
              <w14:schemeClr w14:val="tx1"/>
            </w14:solidFill>
          </w14:textFill>
        </w:rPr>
        <w:t>台州市医疗保障定点零售药店评估表</w:t>
      </w:r>
    </w:p>
    <w:p>
      <w:pPr>
        <w:overflowPunct w:val="0"/>
        <w:spacing w:line="460" w:lineRule="exact"/>
        <w:ind w:firstLine="720" w:firstLineChars="3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零售药店名称：                                    地址：                              评估时间：</w:t>
      </w:r>
    </w:p>
    <w:tbl>
      <w:tblPr>
        <w:tblStyle w:val="6"/>
        <w:tblW w:w="130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01"/>
        <w:gridCol w:w="562"/>
        <w:gridCol w:w="1932"/>
        <w:gridCol w:w="8442"/>
        <w:gridCol w:w="702"/>
        <w:gridCol w:w="7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tblHeader/>
          <w:jc w:val="center"/>
        </w:trPr>
        <w:tc>
          <w:tcPr>
            <w:tcW w:w="701" w:type="dxa"/>
            <w:tcBorders>
              <w:bottom w:val="single" w:color="auto" w:sz="4" w:space="0"/>
            </w:tcBorders>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指标类型</w:t>
            </w:r>
          </w:p>
        </w:tc>
        <w:tc>
          <w:tcPr>
            <w:tcW w:w="562" w:type="dxa"/>
            <w:tcBorders>
              <w:bottom w:val="single" w:color="auto" w:sz="4" w:space="0"/>
            </w:tcBorders>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序号</w:t>
            </w:r>
          </w:p>
        </w:tc>
        <w:tc>
          <w:tcPr>
            <w:tcW w:w="1932" w:type="dxa"/>
            <w:tcBorders>
              <w:bottom w:val="single" w:color="auto" w:sz="4" w:space="0"/>
            </w:tcBorders>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评估项目及分值</w:t>
            </w:r>
          </w:p>
        </w:tc>
        <w:tc>
          <w:tcPr>
            <w:tcW w:w="8442" w:type="dxa"/>
            <w:tcBorders>
              <w:bottom w:val="single" w:color="auto" w:sz="4" w:space="0"/>
            </w:tcBorders>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评</w:t>
            </w:r>
            <w:r>
              <w:rPr>
                <w:rFonts w:hint="eastAsia" w:ascii="黑体" w:hAnsi="黑体" w:eastAsia="黑体"/>
                <w:color w:val="000000" w:themeColor="text1"/>
                <w:sz w:val="24"/>
                <w14:textFill>
                  <w14:solidFill>
                    <w14:schemeClr w14:val="tx1"/>
                  </w14:solidFill>
                </w14:textFill>
              </w:rPr>
              <w:t xml:space="preserve">  </w:t>
            </w:r>
            <w:r>
              <w:rPr>
                <w:rFonts w:ascii="黑体" w:hAnsi="黑体" w:eastAsia="黑体"/>
                <w:color w:val="000000" w:themeColor="text1"/>
                <w:sz w:val="24"/>
                <w14:textFill>
                  <w14:solidFill>
                    <w14:schemeClr w14:val="tx1"/>
                  </w14:solidFill>
                </w14:textFill>
              </w:rPr>
              <w:t>分</w:t>
            </w:r>
            <w:r>
              <w:rPr>
                <w:rFonts w:hint="eastAsia" w:ascii="黑体" w:hAnsi="黑体" w:eastAsia="黑体"/>
                <w:color w:val="000000" w:themeColor="text1"/>
                <w:sz w:val="24"/>
                <w14:textFill>
                  <w14:solidFill>
                    <w14:schemeClr w14:val="tx1"/>
                  </w14:solidFill>
                </w14:textFill>
              </w:rPr>
              <w:t xml:space="preserve">  </w:t>
            </w:r>
            <w:r>
              <w:rPr>
                <w:rFonts w:ascii="黑体" w:hAnsi="黑体" w:eastAsia="黑体"/>
                <w:color w:val="000000" w:themeColor="text1"/>
                <w:sz w:val="24"/>
                <w14:textFill>
                  <w14:solidFill>
                    <w14:schemeClr w14:val="tx1"/>
                  </w14:solidFill>
                </w14:textFill>
              </w:rPr>
              <w:t>标</w:t>
            </w:r>
            <w:r>
              <w:rPr>
                <w:rFonts w:hint="eastAsia" w:ascii="黑体" w:hAnsi="黑体" w:eastAsia="黑体"/>
                <w:color w:val="000000" w:themeColor="text1"/>
                <w:sz w:val="24"/>
                <w14:textFill>
                  <w14:solidFill>
                    <w14:schemeClr w14:val="tx1"/>
                  </w14:solidFill>
                </w14:textFill>
              </w:rPr>
              <w:t xml:space="preserve">  </w:t>
            </w:r>
            <w:r>
              <w:rPr>
                <w:rFonts w:ascii="黑体" w:hAnsi="黑体" w:eastAsia="黑体"/>
                <w:color w:val="000000" w:themeColor="text1"/>
                <w:sz w:val="24"/>
                <w14:textFill>
                  <w14:solidFill>
                    <w14:schemeClr w14:val="tx1"/>
                  </w14:solidFill>
                </w14:textFill>
              </w:rPr>
              <w:t>准</w:t>
            </w:r>
          </w:p>
        </w:tc>
        <w:tc>
          <w:tcPr>
            <w:tcW w:w="702" w:type="dxa"/>
            <w:tcBorders>
              <w:bottom w:val="single" w:color="auto" w:sz="4" w:space="0"/>
            </w:tcBorders>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自评情况</w:t>
            </w:r>
          </w:p>
        </w:tc>
        <w:tc>
          <w:tcPr>
            <w:tcW w:w="702" w:type="dxa"/>
            <w:tcBorders>
              <w:bottom w:val="single" w:color="auto" w:sz="4" w:space="0"/>
            </w:tcBorders>
            <w:vAlign w:val="center"/>
          </w:tcPr>
          <w:p>
            <w:pPr>
              <w:overflowPunct w:val="0"/>
              <w:spacing w:line="32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评估情况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restart"/>
            <w:tcBorders>
              <w:top w:val="single" w:color="auto" w:sz="4" w:space="0"/>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基础指标</w:t>
            </w:r>
          </w:p>
        </w:tc>
        <w:tc>
          <w:tcPr>
            <w:tcW w:w="562" w:type="dxa"/>
            <w:tcBorders>
              <w:top w:val="single" w:color="auto" w:sz="4" w:space="0"/>
              <w:bottom w:val="single" w:color="auto" w:sz="4" w:space="0"/>
            </w:tcBorders>
            <w:vAlign w:val="center"/>
          </w:tcPr>
          <w:p>
            <w:pPr>
              <w:overflowPunct w:val="0"/>
              <w:spacing w:line="320" w:lineRule="exact"/>
              <w:jc w:val="center"/>
              <w:rPr>
                <w:rFonts w:ascii="仿宋_GB2312" w:eastAsia="仿宋_GB2312"/>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经营时间</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在注册地址是否已正式经营3个月以上，“否”即为不合格。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药师配备</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药店是否至少有1名取得执业药师资格证书或具有药学、临床药学、中药学专业技术资格证书的药师，且注册地在该零售药店所在地，药师是否已签订1年</w:t>
            </w:r>
            <w:r>
              <w:rPr>
                <w:rFonts w:hint="eastAsia" w:eastAsia="仿宋_GB2312"/>
                <w:color w:val="000000" w:themeColor="text1"/>
                <w:sz w:val="24"/>
                <w14:textFill>
                  <w14:solidFill>
                    <w14:schemeClr w14:val="tx1"/>
                  </w14:solidFill>
                </w14:textFill>
              </w:rPr>
              <w:t>及</w:t>
            </w:r>
            <w:r>
              <w:rPr>
                <w:rFonts w:eastAsia="仿宋_GB2312"/>
                <w:color w:val="000000" w:themeColor="text1"/>
                <w:sz w:val="24"/>
                <w14:textFill>
                  <w14:solidFill>
                    <w14:schemeClr w14:val="tx1"/>
                  </w14:solidFill>
                </w14:textFill>
              </w:rPr>
              <w:t>以上劳动合同且在合同期内，“否”即为不合格。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医保管理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pacing w:val="-4"/>
                <w:sz w:val="24"/>
                <w14:textFill>
                  <w14:solidFill>
                    <w14:schemeClr w14:val="tx1"/>
                  </w14:solidFill>
                </w14:textFill>
              </w:rPr>
            </w:pPr>
            <w:r>
              <w:rPr>
                <w:rFonts w:eastAsia="仿宋_GB2312"/>
                <w:color w:val="000000" w:themeColor="text1"/>
                <w:spacing w:val="-4"/>
                <w:sz w:val="24"/>
                <w14:textFill>
                  <w14:solidFill>
                    <w14:schemeClr w14:val="tx1"/>
                  </w14:solidFill>
                </w14:textFill>
              </w:rPr>
              <w:t>是否至少有2名熟悉医疗保障法律法规和相关制度规定的专（兼）职医保管理人员负责管理医保费用，并签订1年</w:t>
            </w:r>
            <w:r>
              <w:rPr>
                <w:rFonts w:hint="eastAsia" w:eastAsia="仿宋_GB2312"/>
                <w:color w:val="000000" w:themeColor="text1"/>
                <w:spacing w:val="-4"/>
                <w:sz w:val="24"/>
                <w14:textFill>
                  <w14:solidFill>
                    <w14:schemeClr w14:val="tx1"/>
                  </w14:solidFill>
                </w14:textFill>
              </w:rPr>
              <w:t>及</w:t>
            </w:r>
            <w:r>
              <w:rPr>
                <w:rFonts w:eastAsia="仿宋_GB2312"/>
                <w:color w:val="000000" w:themeColor="text1"/>
                <w:spacing w:val="-4"/>
                <w:sz w:val="24"/>
                <w14:textFill>
                  <w14:solidFill>
                    <w14:schemeClr w14:val="tx1"/>
                  </w14:solidFill>
                </w14:textFill>
              </w:rPr>
              <w:t>以上劳动合同且在合同期内，“否”即为不合格。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药品管理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pacing w:val="-4"/>
                <w:sz w:val="24"/>
                <w14:textFill>
                  <w14:solidFill>
                    <w14:schemeClr w14:val="tx1"/>
                  </w14:solidFill>
                </w14:textFill>
              </w:rPr>
            </w:pPr>
            <w:r>
              <w:rPr>
                <w:rFonts w:eastAsia="仿宋_GB2312"/>
                <w:color w:val="000000" w:themeColor="text1"/>
                <w:spacing w:val="-4"/>
                <w:sz w:val="24"/>
                <w14:textFill>
                  <w14:solidFill>
                    <w14:schemeClr w14:val="tx1"/>
                  </w14:solidFill>
                </w14:textFill>
              </w:rPr>
              <w:t>是否已按药品经营质量管理规范要求，开展药品分类分区管理，“否”即为不合格。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15"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制度建设</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pacing w:val="-4"/>
                <w:sz w:val="24"/>
                <w14:textFill>
                  <w14:solidFill>
                    <w14:schemeClr w14:val="tx1"/>
                  </w14:solidFill>
                </w14:textFill>
              </w:rPr>
            </w:pPr>
            <w:r>
              <w:rPr>
                <w:rFonts w:eastAsia="仿宋_GB2312"/>
                <w:color w:val="000000" w:themeColor="text1"/>
                <w:spacing w:val="-4"/>
                <w:sz w:val="24"/>
                <w14:textFill>
                  <w14:solidFill>
                    <w14:schemeClr w14:val="tx1"/>
                  </w14:solidFill>
                </w14:textFill>
              </w:rPr>
              <w:t>是否具有符合医保协议管理要求的</w:t>
            </w:r>
            <w:r>
              <w:rPr>
                <w:rFonts w:hint="eastAsia" w:eastAsia="仿宋_GB2312"/>
                <w:color w:val="000000" w:themeColor="text1"/>
                <w:spacing w:val="-4"/>
                <w:sz w:val="24"/>
                <w14:textFill>
                  <w14:solidFill>
                    <w14:schemeClr w14:val="tx1"/>
                  </w14:solidFill>
                </w14:textFill>
              </w:rPr>
              <w:t>医保</w:t>
            </w:r>
            <w:r>
              <w:rPr>
                <w:rFonts w:eastAsia="仿宋_GB2312"/>
                <w:color w:val="000000" w:themeColor="text1"/>
                <w:spacing w:val="-4"/>
                <w:sz w:val="24"/>
                <w14:textFill>
                  <w14:solidFill>
                    <w14:schemeClr w14:val="tx1"/>
                  </w14:solidFill>
                </w14:textFill>
              </w:rPr>
              <w:t>药品管理制度、财务管理制度、医保人员管理制度、统计信息管理制度和医保费用结算制度，“否”即为不合格。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信息系统</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pacing w:val="-4"/>
                <w:sz w:val="24"/>
                <w14:textFill>
                  <w14:solidFill>
                    <w14:schemeClr w14:val="tx1"/>
                  </w14:solidFill>
                </w14:textFill>
              </w:rPr>
            </w:pPr>
            <w:r>
              <w:rPr>
                <w:rFonts w:eastAsia="仿宋_GB2312"/>
                <w:color w:val="000000" w:themeColor="text1"/>
                <w:spacing w:val="-4"/>
                <w:sz w:val="24"/>
                <w14:textFill>
                  <w14:solidFill>
                    <w14:schemeClr w14:val="tx1"/>
                  </w14:solidFill>
                </w14:textFill>
              </w:rPr>
              <w:t>是否</w:t>
            </w:r>
            <w:r>
              <w:rPr>
                <w:rFonts w:hint="eastAsia" w:eastAsia="仿宋_GB2312"/>
                <w:color w:val="000000" w:themeColor="text1"/>
                <w:spacing w:val="-4"/>
                <w:sz w:val="24"/>
                <w14:textFill>
                  <w14:solidFill>
                    <w14:schemeClr w14:val="tx1"/>
                  </w14:solidFill>
                </w14:textFill>
              </w:rPr>
              <w:t>已具备</w:t>
            </w:r>
            <w:r>
              <w:rPr>
                <w:rFonts w:eastAsia="仿宋_GB2312"/>
                <w:color w:val="000000" w:themeColor="text1"/>
                <w:spacing w:val="-4"/>
                <w:sz w:val="24"/>
                <w14:textFill>
                  <w14:solidFill>
                    <w14:schemeClr w14:val="tx1"/>
                  </w14:solidFill>
                </w14:textFill>
              </w:rPr>
              <w:t>与医保信息系统</w:t>
            </w:r>
            <w:r>
              <w:rPr>
                <w:rFonts w:hint="eastAsia" w:eastAsia="仿宋_GB2312"/>
                <w:color w:val="000000" w:themeColor="text1"/>
                <w:spacing w:val="-4"/>
                <w:sz w:val="24"/>
                <w14:textFill>
                  <w14:solidFill>
                    <w14:schemeClr w14:val="tx1"/>
                  </w14:solidFill>
                </w14:textFill>
              </w:rPr>
              <w:t>有效对接</w:t>
            </w:r>
            <w:r>
              <w:rPr>
                <w:rFonts w:eastAsia="仿宋_GB2312"/>
                <w:color w:val="000000" w:themeColor="text1"/>
                <w:spacing w:val="-4"/>
                <w:sz w:val="24"/>
                <w14:textFill>
                  <w14:solidFill>
                    <w14:schemeClr w14:val="tx1"/>
                  </w14:solidFill>
                </w14:textFill>
              </w:rPr>
              <w:t>的条件，“否”即为不合格。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7</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基础数据库</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pacing w:val="-4"/>
                <w:sz w:val="24"/>
                <w14:textFill>
                  <w14:solidFill>
                    <w14:schemeClr w14:val="tx1"/>
                  </w14:solidFill>
                </w14:textFill>
              </w:rPr>
            </w:pPr>
            <w:r>
              <w:rPr>
                <w:rFonts w:eastAsia="仿宋_GB2312"/>
                <w:color w:val="000000" w:themeColor="text1"/>
                <w:spacing w:val="-4"/>
                <w:sz w:val="24"/>
                <w14:textFill>
                  <w14:solidFill>
                    <w14:schemeClr w14:val="tx1"/>
                  </w14:solidFill>
                </w14:textFill>
              </w:rPr>
              <w:t>是否已设立医保药品等基础数据库，“否”即为不合格。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药品价格政策</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pacing w:val="-4"/>
                <w:sz w:val="24"/>
                <w14:textFill>
                  <w14:solidFill>
                    <w14:schemeClr w14:val="tx1"/>
                  </w14:solidFill>
                </w14:textFill>
              </w:rPr>
            </w:pPr>
            <w:r>
              <w:rPr>
                <w:rFonts w:eastAsia="仿宋_GB2312"/>
                <w:color w:val="000000" w:themeColor="text1"/>
                <w:spacing w:val="-4"/>
                <w:sz w:val="24"/>
                <w14:textFill>
                  <w14:solidFill>
                    <w14:schemeClr w14:val="tx1"/>
                  </w14:solidFill>
                </w14:textFill>
              </w:rPr>
              <w:t>是否执行医疗保障行政部门制定医保药品支付标准政策，“否”即为不合格</w:t>
            </w:r>
            <w:r>
              <w:rPr>
                <w:rFonts w:hint="eastAsia" w:eastAsia="仿宋_GB2312"/>
                <w:color w:val="000000" w:themeColor="text1"/>
                <w:spacing w:val="-4"/>
                <w:sz w:val="24"/>
                <w14:textFill>
                  <w14:solidFill>
                    <w14:schemeClr w14:val="tx1"/>
                  </w14:solidFill>
                </w14:textFill>
              </w:rPr>
              <w:t>。</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9</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信用制度</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pacing w:val="-4"/>
                <w:sz w:val="24"/>
                <w14:textFill>
                  <w14:solidFill>
                    <w14:schemeClr w14:val="tx1"/>
                  </w14:solidFill>
                </w14:textFill>
              </w:rPr>
            </w:pPr>
            <w:r>
              <w:rPr>
                <w:rFonts w:eastAsia="仿宋_GB2312"/>
                <w:color w:val="000000" w:themeColor="text1"/>
                <w:spacing w:val="-4"/>
                <w:sz w:val="24"/>
                <w14:textFill>
                  <w14:solidFill>
                    <w14:schemeClr w14:val="tx1"/>
                  </w14:solidFill>
                </w14:textFill>
              </w:rPr>
              <w:t>药店的法定代表人、主要负责人或实际控制人是否有被列入失信人名单的，“是”即为不合格。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10</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医保</w:t>
            </w:r>
            <w:r>
              <w:rPr>
                <w:rFonts w:eastAsia="仿宋_GB2312"/>
                <w:color w:val="000000" w:themeColor="text1"/>
                <w:sz w:val="24"/>
                <w14:textFill>
                  <w14:solidFill>
                    <w14:schemeClr w14:val="tx1"/>
                  </w14:solidFill>
                </w14:textFill>
              </w:rPr>
              <w:t>协议</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机构是否</w:t>
            </w:r>
            <w:r>
              <w:rPr>
                <w:rFonts w:eastAsia="仿宋_GB2312"/>
                <w:color w:val="000000" w:themeColor="text1"/>
                <w:sz w:val="24"/>
                <w14:textFill>
                  <w14:solidFill>
                    <w14:schemeClr w14:val="tx1"/>
                  </w14:solidFill>
                </w14:textFill>
              </w:rPr>
              <w:t>存在</w:t>
            </w:r>
            <w:r>
              <w:rPr>
                <w:rFonts w:hint="eastAsia" w:eastAsia="仿宋_GB2312"/>
                <w:color w:val="000000" w:themeColor="text1"/>
                <w:sz w:val="24"/>
                <w14:textFill>
                  <w14:solidFill>
                    <w14:schemeClr w14:val="tx1"/>
                  </w14:solidFill>
                </w14:textFill>
              </w:rPr>
              <w:t>因</w:t>
            </w:r>
            <w:r>
              <w:rPr>
                <w:rFonts w:eastAsia="仿宋_GB2312"/>
                <w:color w:val="000000" w:themeColor="text1"/>
                <w:sz w:val="24"/>
                <w14:textFill>
                  <w14:solidFill>
                    <w14:schemeClr w14:val="tx1"/>
                  </w14:solidFill>
                </w14:textFill>
              </w:rPr>
              <w:t>严重违反医保协议约定而被解除协议未满</w:t>
            </w:r>
            <w:r>
              <w:rPr>
                <w:rFonts w:hint="eastAsia" w:eastAsia="仿宋_GB2312"/>
                <w:color w:val="000000" w:themeColor="text1"/>
                <w:sz w:val="24"/>
                <w14:textFill>
                  <w14:solidFill>
                    <w14:schemeClr w14:val="tx1"/>
                  </w14:solidFill>
                </w14:textFill>
              </w:rPr>
              <w:t>1年</w:t>
            </w:r>
            <w:r>
              <w:rPr>
                <w:rFonts w:eastAsia="仿宋_GB2312"/>
                <w:color w:val="000000" w:themeColor="text1"/>
                <w:sz w:val="24"/>
                <w14:textFill>
                  <w14:solidFill>
                    <w14:schemeClr w14:val="tx1"/>
                  </w14:solidFill>
                </w14:textFill>
              </w:rPr>
              <w:t>或已满</w:t>
            </w:r>
            <w:r>
              <w:rPr>
                <w:rFonts w:hint="eastAsia" w:eastAsia="仿宋_GB2312"/>
                <w:color w:val="000000" w:themeColor="text1"/>
                <w:sz w:val="24"/>
                <w14:textFill>
                  <w14:solidFill>
                    <w14:schemeClr w14:val="tx1"/>
                  </w14:solidFill>
                </w14:textFill>
              </w:rPr>
              <w:t>1年</w:t>
            </w:r>
            <w:r>
              <w:rPr>
                <w:rFonts w:eastAsia="仿宋_GB2312"/>
                <w:color w:val="000000" w:themeColor="text1"/>
                <w:sz w:val="24"/>
                <w14:textFill>
                  <w14:solidFill>
                    <w14:schemeClr w14:val="tx1"/>
                  </w14:solidFill>
                </w14:textFill>
              </w:rPr>
              <w:t>但未完全履行违约责任</w:t>
            </w:r>
            <w:r>
              <w:rPr>
                <w:rFonts w:hint="eastAsia" w:eastAsia="仿宋_GB2312"/>
                <w:color w:val="000000" w:themeColor="text1"/>
                <w:sz w:val="24"/>
                <w14:textFill>
                  <w14:solidFill>
                    <w14:schemeClr w14:val="tx1"/>
                  </w14:solidFill>
                </w14:textFill>
              </w:rPr>
              <w:t>的</w:t>
            </w:r>
            <w:r>
              <w:rPr>
                <w:rFonts w:eastAsia="仿宋_GB2312"/>
                <w:color w:val="000000" w:themeColor="text1"/>
                <w:sz w:val="24"/>
                <w14:textFill>
                  <w14:solidFill>
                    <w14:schemeClr w14:val="tx1"/>
                  </w14:solidFill>
                </w14:textFill>
              </w:rPr>
              <w:t>情况，</w:t>
            </w:r>
            <w:r>
              <w:rPr>
                <w:rFonts w:hint="eastAsia" w:eastAsia="仿宋_GB2312"/>
                <w:color w:val="000000" w:themeColor="text1"/>
                <w:sz w:val="24"/>
                <w14:textFill>
                  <w14:solidFill>
                    <w14:schemeClr w14:val="tx1"/>
                  </w14:solidFill>
                </w14:textFill>
              </w:rPr>
              <w:t>“是”即为不合格。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11</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行政处罚</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是否因医药服务行为受到有关行政部门处罚未满1年，“是”即为不合格。</w:t>
            </w:r>
          </w:p>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是否未依法履行行政处罚责任，“是”即为不合格。</w:t>
            </w:r>
          </w:p>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机构是否存在因违法违规被解除医保协议未满3年或已满3年但未完全履行行政处罚法律责任的情况，“是”即为不合格。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12</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法定代表人、主要负责人、实际控制人</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机构法定代表人、主要负责人或实际控制人是否曾因严重违法违规导致原定点零售药店被解除医保协议，未满5年的，“是”即为不合格。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13</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机构执业</w:t>
            </w:r>
            <w:r>
              <w:rPr>
                <w:rFonts w:eastAsia="仿宋_GB2312"/>
                <w:color w:val="000000" w:themeColor="text1"/>
                <w:sz w:val="24"/>
                <w14:textFill>
                  <w14:solidFill>
                    <w14:schemeClr w14:val="tx1"/>
                  </w14:solidFill>
                </w14:textFill>
              </w:rPr>
              <w:t>资质</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核查药品经营许可证、营业执照和法定代表人、企业负责人或实际控制人身份证，</w:t>
            </w:r>
            <w:r>
              <w:rPr>
                <w:rFonts w:eastAsia="仿宋_GB2312"/>
                <w:color w:val="000000" w:themeColor="text1"/>
                <w:sz w:val="24"/>
                <w14:textFill>
                  <w14:solidFill>
                    <w14:schemeClr w14:val="tx1"/>
                  </w14:solidFill>
                </w14:textFill>
              </w:rPr>
              <w:t>与上传</w:t>
            </w:r>
            <w:r>
              <w:rPr>
                <w:rFonts w:hint="eastAsia" w:eastAsia="仿宋_GB2312"/>
                <w:color w:val="000000" w:themeColor="text1"/>
                <w:sz w:val="24"/>
                <w14:textFill>
                  <w14:solidFill>
                    <w14:schemeClr w14:val="tx1"/>
                  </w14:solidFill>
                </w14:textFill>
              </w:rPr>
              <w:t>信息</w:t>
            </w:r>
            <w:r>
              <w:rPr>
                <w:rFonts w:eastAsia="仿宋_GB2312"/>
                <w:color w:val="000000" w:themeColor="text1"/>
                <w:sz w:val="24"/>
                <w14:textFill>
                  <w14:solidFill>
                    <w14:schemeClr w14:val="tx1"/>
                  </w14:solidFill>
                </w14:textFill>
              </w:rPr>
              <w:t>复印件不一致的，</w:t>
            </w:r>
            <w:r>
              <w:rPr>
                <w:rFonts w:hint="eastAsia" w:eastAsia="仿宋_GB2312"/>
                <w:color w:val="000000" w:themeColor="text1"/>
                <w:sz w:val="24"/>
                <w14:textFill>
                  <w14:solidFill>
                    <w14:schemeClr w14:val="tx1"/>
                  </w14:solidFill>
                </w14:textFill>
              </w:rPr>
              <w:t>即为不合格</w:t>
            </w:r>
            <w:r>
              <w:rPr>
                <w:rFonts w:eastAsia="仿宋_GB2312"/>
                <w:color w:val="000000" w:themeColor="text1"/>
                <w:sz w:val="24"/>
                <w14:textFill>
                  <w14:solidFill>
                    <w14:schemeClr w14:val="tx1"/>
                  </w14:solidFill>
                </w14:textFill>
              </w:rPr>
              <w:t>。</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1" w:type="dxa"/>
            <w:vMerge w:val="continue"/>
            <w:tcBorders>
              <w:left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14</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药师、</w:t>
            </w:r>
            <w:r>
              <w:rPr>
                <w:rFonts w:eastAsia="仿宋_GB2312"/>
                <w:color w:val="000000" w:themeColor="text1"/>
                <w:sz w:val="24"/>
                <w14:textFill>
                  <w14:solidFill>
                    <w14:schemeClr w14:val="tx1"/>
                  </w14:solidFill>
                </w14:textFill>
              </w:rPr>
              <w:t>药学技术人员资质</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核查执业药师资格证书或药学技术人员资格证书及劳动合同，</w:t>
            </w:r>
            <w:r>
              <w:rPr>
                <w:rFonts w:eastAsia="仿宋_GB2312"/>
                <w:color w:val="000000" w:themeColor="text1"/>
                <w:sz w:val="24"/>
                <w14:textFill>
                  <w14:solidFill>
                    <w14:schemeClr w14:val="tx1"/>
                  </w14:solidFill>
                </w14:textFill>
              </w:rPr>
              <w:t>配置不符合</w:t>
            </w:r>
            <w:r>
              <w:rPr>
                <w:rFonts w:hint="eastAsia" w:eastAsia="仿宋_GB2312"/>
                <w:color w:val="000000" w:themeColor="text1"/>
                <w:sz w:val="24"/>
                <w14:textFill>
                  <w14:solidFill>
                    <w14:schemeClr w14:val="tx1"/>
                  </w14:solidFill>
                </w14:textFill>
              </w:rPr>
              <w:t>药监部门</w:t>
            </w:r>
            <w:r>
              <w:rPr>
                <w:rFonts w:eastAsia="仿宋_GB2312"/>
                <w:color w:val="000000" w:themeColor="text1"/>
                <w:sz w:val="24"/>
                <w14:textFill>
                  <w14:solidFill>
                    <w14:schemeClr w14:val="tx1"/>
                  </w14:solidFill>
                </w14:textFill>
              </w:rPr>
              <w:t>要求</w:t>
            </w:r>
            <w:r>
              <w:rPr>
                <w:rFonts w:hint="eastAsia" w:eastAsia="仿宋_GB2312"/>
                <w:color w:val="000000" w:themeColor="text1"/>
                <w:sz w:val="24"/>
                <w14:textFill>
                  <w14:solidFill>
                    <w14:schemeClr w14:val="tx1"/>
                  </w14:solidFill>
                </w14:textFill>
              </w:rPr>
              <w:t>的，即为不合格。</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restart"/>
            <w:tcBorders>
              <w:top w:val="single" w:color="auto" w:sz="4" w:space="0"/>
              <w:left w:val="single" w:color="auto" w:sz="4" w:space="0"/>
            </w:tcBorders>
            <w:vAlign w:val="center"/>
          </w:tcPr>
          <w:p>
            <w:pPr>
              <w:overflowPunct w:val="0"/>
              <w:spacing w:line="320" w:lineRule="exact"/>
              <w:jc w:val="center"/>
              <w:rPr>
                <w:rFonts w:hint="eastAsia" w:eastAsia="仿宋_GB2312"/>
                <w:b/>
                <w:bCs/>
                <w:color w:val="000000" w:themeColor="text1"/>
                <w:sz w:val="24"/>
                <w14:textFill>
                  <w14:solidFill>
                    <w14:schemeClr w14:val="tx1"/>
                  </w14:solidFill>
                </w14:textFill>
              </w:rPr>
            </w:pPr>
          </w:p>
          <w:p>
            <w:pPr>
              <w:overflowPunct w:val="0"/>
              <w:spacing w:line="320" w:lineRule="exact"/>
              <w:jc w:val="center"/>
              <w:rPr>
                <w:rFonts w:hint="eastAsia" w:eastAsia="仿宋_GB2312"/>
                <w:b/>
                <w:bCs/>
                <w:color w:val="000000" w:themeColor="text1"/>
                <w:sz w:val="24"/>
                <w14:textFill>
                  <w14:solidFill>
                    <w14:schemeClr w14:val="tx1"/>
                  </w14:solidFill>
                </w14:textFill>
              </w:rPr>
            </w:pPr>
          </w:p>
          <w:p>
            <w:pPr>
              <w:overflowPunct w:val="0"/>
              <w:spacing w:line="320" w:lineRule="exact"/>
              <w:jc w:val="center"/>
              <w:rPr>
                <w:rFonts w:hint="eastAsia" w:eastAsia="仿宋_GB2312"/>
                <w:b/>
                <w:bCs/>
                <w:color w:val="000000" w:themeColor="text1"/>
                <w:sz w:val="24"/>
                <w14:textFill>
                  <w14:solidFill>
                    <w14:schemeClr w14:val="tx1"/>
                  </w14:solidFill>
                </w14:textFill>
              </w:rPr>
            </w:pPr>
          </w:p>
          <w:p>
            <w:pPr>
              <w:overflowPunct w:val="0"/>
              <w:spacing w:line="320" w:lineRule="exact"/>
              <w:jc w:val="center"/>
              <w:rPr>
                <w:rFonts w:hint="eastAsia" w:eastAsia="仿宋_GB2312"/>
                <w:b/>
                <w:bCs/>
                <w:color w:val="000000" w:themeColor="text1"/>
                <w:sz w:val="24"/>
                <w14:textFill>
                  <w14:solidFill>
                    <w14:schemeClr w14:val="tx1"/>
                  </w14:solidFill>
                </w14:textFill>
              </w:rPr>
            </w:pPr>
          </w:p>
          <w:p>
            <w:pPr>
              <w:overflowPunct w:val="0"/>
              <w:spacing w:line="320" w:lineRule="exact"/>
              <w:jc w:val="center"/>
              <w:rPr>
                <w:rFonts w:hint="eastAsia" w:eastAsia="仿宋_GB2312"/>
                <w:b/>
                <w:bCs/>
                <w:color w:val="000000" w:themeColor="text1"/>
                <w:sz w:val="24"/>
                <w14:textFill>
                  <w14:solidFill>
                    <w14:schemeClr w14:val="tx1"/>
                  </w14:solidFill>
                </w14:textFill>
              </w:rPr>
            </w:pPr>
          </w:p>
          <w:p>
            <w:pPr>
              <w:overflowPunct w:val="0"/>
              <w:spacing w:line="320" w:lineRule="exact"/>
              <w:jc w:val="center"/>
              <w:rPr>
                <w:rFonts w:hint="eastAsia" w:eastAsia="仿宋_GB2312"/>
                <w:b/>
                <w:bCs/>
                <w:color w:val="000000" w:themeColor="text1"/>
                <w:sz w:val="24"/>
                <w14:textFill>
                  <w14:solidFill>
                    <w14:schemeClr w14:val="tx1"/>
                  </w14:solidFill>
                </w14:textFill>
              </w:rPr>
            </w:pPr>
          </w:p>
          <w:p>
            <w:pPr>
              <w:overflowPunct w:val="0"/>
              <w:spacing w:line="320" w:lineRule="exact"/>
              <w:jc w:val="both"/>
              <w:rPr>
                <w:rFonts w:hint="eastAsia" w:eastAsia="仿宋_GB2312"/>
                <w:b/>
                <w:bCs/>
                <w:color w:val="000000" w:themeColor="text1"/>
                <w:sz w:val="24"/>
                <w14:textFill>
                  <w14:solidFill>
                    <w14:schemeClr w14:val="tx1"/>
                  </w14:solidFill>
                </w14:textFill>
              </w:rPr>
            </w:pPr>
          </w:p>
          <w:p>
            <w:pPr>
              <w:pStyle w:val="2"/>
              <w:rPr>
                <w:rFonts w:hint="eastAsia"/>
              </w:rPr>
            </w:pPr>
          </w:p>
          <w:p>
            <w:pPr>
              <w:overflowPunct w:val="0"/>
              <w:spacing w:line="320" w:lineRule="exact"/>
              <w:jc w:val="center"/>
              <w:rPr>
                <w:rFonts w:hint="eastAsia" w:eastAsia="仿宋_GB2312"/>
                <w:b/>
                <w:bCs/>
                <w:color w:val="000000" w:themeColor="text1"/>
                <w:sz w:val="24"/>
                <w14:textFill>
                  <w14:solidFill>
                    <w14:schemeClr w14:val="tx1"/>
                  </w14:solidFill>
                </w14:textFill>
              </w:rPr>
            </w:pPr>
          </w:p>
          <w:p>
            <w:pPr>
              <w:overflowPunct w:val="0"/>
              <w:spacing w:line="320" w:lineRule="exact"/>
              <w:jc w:val="center"/>
              <w:rPr>
                <w:rFonts w:hint="eastAsia" w:eastAsia="仿宋_GB2312"/>
                <w:b/>
                <w:bCs/>
                <w:color w:val="000000" w:themeColor="text1"/>
                <w:sz w:val="24"/>
                <w14:textFill>
                  <w14:solidFill>
                    <w14:schemeClr w14:val="tx1"/>
                  </w14:solidFill>
                </w14:textFill>
              </w:rPr>
            </w:pPr>
            <w:r>
              <w:rPr>
                <w:rFonts w:hint="eastAsia" w:eastAsia="仿宋_GB2312"/>
                <w:b/>
                <w:bCs/>
                <w:color w:val="000000" w:themeColor="text1"/>
                <w:sz w:val="24"/>
                <w14:textFill>
                  <w14:solidFill>
                    <w14:schemeClr w14:val="tx1"/>
                  </w14:solidFill>
                </w14:textFill>
              </w:rPr>
              <w:t>评估</w:t>
            </w:r>
            <w:r>
              <w:rPr>
                <w:rFonts w:eastAsia="仿宋_GB2312"/>
                <w:b/>
                <w:bCs/>
                <w:color w:val="000000" w:themeColor="text1"/>
                <w:sz w:val="24"/>
                <w14:textFill>
                  <w14:solidFill>
                    <w14:schemeClr w14:val="tx1"/>
                  </w14:solidFill>
                </w14:textFill>
              </w:rPr>
              <w:t>指标</w:t>
            </w: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both"/>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b/>
                <w:bCs/>
                <w:color w:val="000000" w:themeColor="text1"/>
                <w:sz w:val="24"/>
                <w14:textFill>
                  <w14:solidFill>
                    <w14:schemeClr w14:val="tx1"/>
                  </w14:solidFill>
                </w14:textFill>
              </w:rPr>
            </w:pPr>
          </w:p>
          <w:p>
            <w:pPr>
              <w:overflowPunct w:val="0"/>
              <w:spacing w:line="320" w:lineRule="exact"/>
              <w:jc w:val="center"/>
              <w:rPr>
                <w:rFonts w:eastAsia="仿宋_GB2312"/>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评估指标</w:t>
            </w: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建立完善的医保药品管理制度（5分）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建立包括医保人员工作制度、医保药品“进销存”制度、医保处方管理制度、医保刷卡管理制度、医保信息管理制度等零售药店医保药品管理制度。未建立制度</w:t>
            </w:r>
            <w:r>
              <w:rPr>
                <w:rFonts w:hint="eastAsia" w:eastAsia="仿宋_GB2312"/>
                <w:color w:val="000000" w:themeColor="text1"/>
                <w:sz w:val="24"/>
                <w14:textFill>
                  <w14:solidFill>
                    <w14:schemeClr w14:val="tx1"/>
                  </w14:solidFill>
                </w14:textFill>
              </w:rPr>
              <w:t>的，</w:t>
            </w:r>
            <w:r>
              <w:rPr>
                <w:rFonts w:eastAsia="仿宋_GB2312"/>
                <w:color w:val="000000" w:themeColor="text1"/>
                <w:sz w:val="24"/>
                <w14:textFill>
                  <w14:solidFill>
                    <w14:schemeClr w14:val="tx1"/>
                  </w14:solidFill>
                </w14:textFill>
              </w:rPr>
              <w:t>此项不得分；制度不健全，每少一个制度，扣2分。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2</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建立完善的财务管理制度（</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根据会计制度的规定建立相应的会计账目和“进、销、存”电算化管理的明细账目</w:t>
            </w:r>
            <w:r>
              <w:rPr>
                <w:rFonts w:hint="eastAsia" w:eastAsia="仿宋_GB2312"/>
                <w:color w:val="000000" w:themeColor="text1"/>
                <w:sz w:val="24"/>
                <w14:textFill>
                  <w14:solidFill>
                    <w14:schemeClr w14:val="tx1"/>
                  </w14:solidFill>
                </w14:textFill>
              </w:rPr>
              <w:t>，未建立</w:t>
            </w:r>
            <w:r>
              <w:rPr>
                <w:rFonts w:eastAsia="仿宋_GB2312"/>
                <w:color w:val="000000" w:themeColor="text1"/>
                <w:sz w:val="24"/>
                <w14:textFill>
                  <w14:solidFill>
                    <w14:schemeClr w14:val="tx1"/>
                  </w14:solidFill>
                </w14:textFill>
              </w:rPr>
              <w:t>的，此项不得分。制度执行不到位，未做到账账相符、账实相符，发现1例扣1分。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3</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建立完善的医保人员管理制度</w:t>
            </w:r>
          </w:p>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建立健全零售药店负责人、医保管理负责人、执业药师、物价收费员、计算机信息管理人员、药品质量负责人等医保人员管理制度。未建立制度</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此项不得分；制度不健全，扣</w:t>
            </w:r>
            <w:r>
              <w:rPr>
                <w:rFonts w:hint="eastAsia" w:eastAsia="仿宋_GB2312"/>
                <w:color w:val="000000" w:themeColor="text1"/>
                <w:sz w:val="24"/>
                <w14:textFill>
                  <w14:solidFill>
                    <w14:schemeClr w14:val="tx1"/>
                  </w14:solidFill>
                </w14:textFill>
              </w:rPr>
              <w:t>3</w:t>
            </w:r>
            <w:r>
              <w:rPr>
                <w:rFonts w:eastAsia="仿宋_GB2312"/>
                <w:color w:val="000000" w:themeColor="text1"/>
                <w:sz w:val="24"/>
                <w14:textFill>
                  <w14:solidFill>
                    <w14:schemeClr w14:val="tx1"/>
                  </w14:solidFill>
                </w14:textFill>
              </w:rPr>
              <w:t>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4</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配备医保要求的硬件装置（</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配备相关医保电子凭证设备、医保联网设施设备，并与其它网络间有安全隔离措施，与互联网物理隔离。未按要求配备，此项不得分。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15"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5</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建立规范的药械进货管理制度</w:t>
            </w:r>
          </w:p>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（10分）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药品采购记录必须注明药品的通用名称、生产厂商（中药材标明产地）、剂型、规格、批号、生产日期、有效期、批准文号、供货单位、数量、价格、购进日期。未按要求记录，发现1例扣2分</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药品、器械等所有经营品种购进、销售均应明细如实录入“进、销、存”电算化管理信息系统</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未按要求录入，发现1例扣2分</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最多扣10分。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6</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开展医保政策宣传（</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设立宣传栏、电子屏等向购药的参保人员宣传医保主要政策、购药流程等。未设立或未宣传扣</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分，宣传方式和内容不规范的，扣</w:t>
            </w:r>
            <w:r>
              <w:rPr>
                <w:rFonts w:hint="eastAsia" w:eastAsia="仿宋_GB2312"/>
                <w:color w:val="000000" w:themeColor="text1"/>
                <w:sz w:val="24"/>
                <w14:textFill>
                  <w14:solidFill>
                    <w14:schemeClr w14:val="tx1"/>
                  </w14:solidFill>
                </w14:textFill>
              </w:rPr>
              <w:t>3</w:t>
            </w:r>
            <w:r>
              <w:rPr>
                <w:rFonts w:eastAsia="仿宋_GB2312"/>
                <w:color w:val="000000" w:themeColor="text1"/>
                <w:sz w:val="24"/>
                <w14:textFill>
                  <w14:solidFill>
                    <w14:schemeClr w14:val="tx1"/>
                  </w14:solidFill>
                </w14:textFill>
              </w:rPr>
              <w:t>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100"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7</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合理定价制度</w:t>
            </w:r>
          </w:p>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10</w:t>
            </w:r>
            <w:r>
              <w:rPr>
                <w:rFonts w:eastAsia="仿宋_GB2312"/>
                <w:color w:val="000000" w:themeColor="text1"/>
                <w:sz w:val="24"/>
                <w14:textFill>
                  <w14:solidFill>
                    <w14:schemeClr w14:val="tx1"/>
                  </w14:solidFill>
                </w14:textFill>
              </w:rPr>
              <w:t>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按照公平、合法、诚实守信原则对药品、医用材料、医疗器械等进行明码标价。定价或标识不规范的，发现1例扣1分，最多扣5分；有投诉举报价格的，发现1例扣1分，最多扣5分。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86"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8</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设置监控设备</w:t>
            </w:r>
          </w:p>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（10分）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在收费结算处等公共场所安装监控设备，确保正常使用，角度正确，能清晰辨认出参保人员面部特征，并能提供不少于三个月不间断的监控影像资料。未安装</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此项不得分，使用不正常或不能提供</w:t>
            </w:r>
            <w:r>
              <w:rPr>
                <w:rFonts w:hint="eastAsia" w:eastAsia="仿宋_GB2312"/>
                <w:color w:val="000000" w:themeColor="text1"/>
                <w:sz w:val="24"/>
                <w14:textFill>
                  <w14:solidFill>
                    <w14:schemeClr w14:val="tx1"/>
                  </w14:solidFill>
                </w14:textFill>
              </w:rPr>
              <w:t>完整</w:t>
            </w:r>
            <w:r>
              <w:rPr>
                <w:rFonts w:eastAsia="仿宋_GB2312"/>
                <w:color w:val="000000" w:themeColor="text1"/>
                <w:sz w:val="24"/>
                <w14:textFill>
                  <w14:solidFill>
                    <w14:schemeClr w14:val="tx1"/>
                  </w14:solidFill>
                </w14:textFill>
              </w:rPr>
              <w:t>影像资料，扣</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593"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具备稳定独立的营业场所（10分）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营业面积应符合规定设置要求，能为参保人提供舒适的服务环境。设立医保药品专区或专柜，与非医保药品和其他用品分开摆放，有明确标识。医保药品专区或专柜设置符合规范，药品和医疗器械陈列面积不少于总经营面积70%，其他用品经营范围实行正面清单制。营业面积、专区、专柜设置不符合要求，扣5分；其他用品未严格执行正面清单制，扣5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10</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对医保基金影响的预测性分析</w:t>
            </w:r>
          </w:p>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（5分）</w:t>
            </w:r>
          </w:p>
        </w:tc>
        <w:tc>
          <w:tcPr>
            <w:tcW w:w="844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纳入定点后对医保基金影响的预测性分析报告应客观、正确，符合药店规模、经营收入和医保基金利用等实际情况。</w:t>
            </w:r>
            <w:r>
              <w:rPr>
                <w:rFonts w:hint="eastAsia" w:eastAsia="仿宋_GB2312"/>
                <w:color w:val="000000" w:themeColor="text1"/>
                <w:sz w:val="24"/>
                <w14:textFill>
                  <w14:solidFill>
                    <w14:schemeClr w14:val="tx1"/>
                  </w14:solidFill>
                </w14:textFill>
              </w:rPr>
              <w:t>未提供预测性分析报告、</w:t>
            </w:r>
            <w:r>
              <w:rPr>
                <w:rFonts w:eastAsia="仿宋_GB2312"/>
                <w:color w:val="000000" w:themeColor="text1"/>
                <w:sz w:val="24"/>
                <w14:textFill>
                  <w14:solidFill>
                    <w14:schemeClr w14:val="tx1"/>
                  </w14:solidFill>
                </w14:textFill>
              </w:rPr>
              <w:t>预测性分析报告不符合实际情况的扣</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w:t>
            </w:r>
            <w:r>
              <w:rPr>
                <w:rFonts w:hint="eastAsia" w:ascii="Times New Roman" w:hAnsi="Times New Roman" w:eastAsia="仿宋_GB2312" w:cs="Times New Roman"/>
                <w:color w:val="000000" w:themeColor="text1"/>
                <w:sz w:val="24"/>
                <w14:textFill>
                  <w14:solidFill>
                    <w14:schemeClr w14:val="tx1"/>
                  </w14:solidFill>
                </w14:textFill>
              </w:rPr>
              <w:t>1</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场所布局（10分）</w:t>
            </w:r>
          </w:p>
        </w:tc>
        <w:tc>
          <w:tcPr>
            <w:tcW w:w="8442" w:type="dxa"/>
            <w:tcBorders>
              <w:top w:val="single" w:color="auto" w:sz="4" w:space="0"/>
              <w:bottom w:val="single" w:color="auto" w:sz="4" w:space="0"/>
            </w:tcBorders>
            <w:vAlign w:val="center"/>
          </w:tcPr>
          <w:p>
            <w:pPr>
              <w:pStyle w:val="10"/>
              <w:widowControl/>
              <w:overflowPunct w:val="0"/>
              <w:autoSpaceDE/>
              <w:autoSpaceDN/>
              <w:jc w:val="both"/>
              <w:rPr>
                <w:rFonts w:ascii="Times New Roman" w:hAnsi="Times New Roman" w:eastAsia="仿宋_GB2312"/>
                <w:color w:val="000000" w:themeColor="text1"/>
                <w14:textFill>
                  <w14:solidFill>
                    <w14:schemeClr w14:val="tx1"/>
                  </w14:solidFill>
                </w14:textFill>
              </w:rPr>
            </w:pPr>
            <w:r>
              <w:rPr>
                <w:rFonts w:ascii="Times New Roman" w:hAnsi="仿宋_GB2312" w:eastAsia="仿宋_GB2312"/>
                <w:color w:val="000000" w:themeColor="text1"/>
                <w14:textFill>
                  <w14:solidFill>
                    <w14:schemeClr w14:val="tx1"/>
                  </w14:solidFill>
                </w14:textFill>
              </w:rPr>
              <w:t>与相近定点零售药店的最小行径间距大于</w:t>
            </w:r>
            <w:r>
              <w:rPr>
                <w:rFonts w:ascii="Times New Roman" w:hAnsi="Times New Roman" w:eastAsia="仿宋_GB2312"/>
                <w:color w:val="000000" w:themeColor="text1"/>
                <w14:textFill>
                  <w14:solidFill>
                    <w14:schemeClr w14:val="tx1"/>
                  </w14:solidFill>
                </w14:textFill>
              </w:rPr>
              <w:t>500</w:t>
            </w:r>
            <w:r>
              <w:rPr>
                <w:rFonts w:ascii="Times New Roman" w:hAnsi="仿宋_GB2312" w:eastAsia="仿宋_GB2312"/>
                <w:color w:val="000000" w:themeColor="text1"/>
                <w14:textFill>
                  <w14:solidFill>
                    <w14:schemeClr w14:val="tx1"/>
                  </w14:solidFill>
                </w14:textFill>
              </w:rPr>
              <w:t>米的加</w:t>
            </w:r>
            <w:r>
              <w:rPr>
                <w:rFonts w:ascii="Times New Roman" w:hAnsi="Times New Roman" w:eastAsia="仿宋_GB2312"/>
                <w:color w:val="000000" w:themeColor="text1"/>
                <w14:textFill>
                  <w14:solidFill>
                    <w14:schemeClr w14:val="tx1"/>
                  </w14:solidFill>
                </w14:textFill>
              </w:rPr>
              <w:t>2</w:t>
            </w:r>
            <w:r>
              <w:rPr>
                <w:rFonts w:ascii="Times New Roman" w:hAnsi="仿宋_GB2312" w:eastAsia="仿宋_GB2312"/>
                <w:color w:val="000000" w:themeColor="text1"/>
                <w14:textFill>
                  <w14:solidFill>
                    <w14:schemeClr w14:val="tx1"/>
                  </w14:solidFill>
                </w14:textFill>
              </w:rPr>
              <w:t>分</w:t>
            </w:r>
            <w:r>
              <w:rPr>
                <w:rFonts w:ascii="Times New Roman" w:hAnsi="仿宋_GB2312" w:eastAsia="仿宋_GB2312"/>
                <w:color w:val="000000" w:themeColor="text1"/>
                <w:kern w:val="2"/>
                <w14:textFill>
                  <w14:solidFill>
                    <w14:schemeClr w14:val="tx1"/>
                  </w14:solidFill>
                </w14:textFill>
              </w:rPr>
              <w:t>；</w:t>
            </w:r>
            <w:r>
              <w:rPr>
                <w:rFonts w:ascii="Times New Roman" w:hAnsi="Times New Roman" w:eastAsia="仿宋_GB2312"/>
                <w:color w:val="000000" w:themeColor="text1"/>
                <w:kern w:val="2"/>
                <w14:textFill>
                  <w14:solidFill>
                    <w14:schemeClr w14:val="tx1"/>
                  </w14:solidFill>
                </w14:textFill>
              </w:rPr>
              <w:t>大于1000米的加5</w:t>
            </w:r>
            <w:r>
              <w:rPr>
                <w:rFonts w:hint="eastAsia" w:ascii="Times New Roman" w:hAnsi="Times New Roman" w:eastAsia="仿宋_GB2312"/>
                <w:color w:val="000000" w:themeColor="text1"/>
                <w:kern w:val="2"/>
                <w14:textFill>
                  <w14:solidFill>
                    <w14:schemeClr w14:val="tx1"/>
                  </w14:solidFill>
                </w14:textFill>
              </w:rPr>
              <w:t>分；大于2000米的，加10分。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w:t>
            </w:r>
            <w:r>
              <w:rPr>
                <w:rFonts w:hint="eastAsia" w:ascii="Times New Roman" w:hAnsi="Times New Roman" w:eastAsia="仿宋_GB2312" w:cs="Times New Roman"/>
                <w:color w:val="000000" w:themeColor="text1"/>
                <w:sz w:val="24"/>
                <w14:textFill>
                  <w14:solidFill>
                    <w14:schemeClr w14:val="tx1"/>
                  </w14:solidFill>
                </w14:textFill>
              </w:rPr>
              <w:t>2</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场所面积（5分）</w:t>
            </w:r>
          </w:p>
        </w:tc>
        <w:tc>
          <w:tcPr>
            <w:tcW w:w="8442" w:type="dxa"/>
            <w:tcBorders>
              <w:top w:val="single" w:color="auto" w:sz="4" w:space="0"/>
              <w:bottom w:val="single" w:color="auto" w:sz="4" w:space="0"/>
            </w:tcBorders>
            <w:vAlign w:val="center"/>
          </w:tcPr>
          <w:p>
            <w:pPr>
              <w:overflowPunct w:val="0"/>
              <w:rPr>
                <w:rFonts w:eastAsia="仿宋_GB2312"/>
                <w:color w:val="000000" w:themeColor="text1"/>
                <w:kern w:val="0"/>
                <w:sz w:val="24"/>
                <w14:textFill>
                  <w14:solidFill>
                    <w14:schemeClr w14:val="tx1"/>
                  </w14:solidFill>
                </w14:textFill>
              </w:rPr>
            </w:pPr>
            <w:r>
              <w:rPr>
                <w:rFonts w:hAnsi="仿宋_GB2312" w:eastAsia="仿宋_GB2312"/>
                <w:color w:val="000000" w:themeColor="text1"/>
                <w:kern w:val="0"/>
                <w:sz w:val="24"/>
                <w14:textFill>
                  <w14:solidFill>
                    <w14:schemeClr w14:val="tx1"/>
                  </w14:solidFill>
                </w14:textFill>
              </w:rPr>
              <w:t>建筑面积</w:t>
            </w:r>
            <w:r>
              <w:rPr>
                <w:rFonts w:eastAsia="仿宋_GB2312"/>
                <w:color w:val="000000" w:themeColor="text1"/>
                <w:kern w:val="0"/>
                <w:sz w:val="24"/>
                <w14:textFill>
                  <w14:solidFill>
                    <w14:schemeClr w14:val="tx1"/>
                  </w14:solidFill>
                </w14:textFill>
              </w:rPr>
              <w:t>120</w:t>
            </w:r>
            <w:r>
              <w:rPr>
                <w:rFonts w:hAnsi="仿宋_GB2312" w:eastAsia="仿宋_GB2312"/>
                <w:color w:val="000000" w:themeColor="text1"/>
                <w:kern w:val="0"/>
                <w:sz w:val="24"/>
                <w14:textFill>
                  <w14:solidFill>
                    <w14:schemeClr w14:val="tx1"/>
                  </w14:solidFill>
                </w14:textFill>
              </w:rPr>
              <w:t>平方米及以上加</w:t>
            </w:r>
            <w:r>
              <w:rPr>
                <w:rFonts w:eastAsia="仿宋_GB2312"/>
                <w:color w:val="000000" w:themeColor="text1"/>
                <w:kern w:val="0"/>
                <w:sz w:val="24"/>
                <w14:textFill>
                  <w14:solidFill>
                    <w14:schemeClr w14:val="tx1"/>
                  </w14:solidFill>
                </w14:textFill>
              </w:rPr>
              <w:t>2</w:t>
            </w:r>
            <w:r>
              <w:rPr>
                <w:rFonts w:hAnsi="仿宋_GB2312" w:eastAsia="仿宋_GB2312"/>
                <w:color w:val="000000" w:themeColor="text1"/>
                <w:kern w:val="0"/>
                <w:sz w:val="24"/>
                <w14:textFill>
                  <w14:solidFill>
                    <w14:schemeClr w14:val="tx1"/>
                  </w14:solidFill>
                </w14:textFill>
              </w:rPr>
              <w:t>分；</w:t>
            </w:r>
            <w:r>
              <w:rPr>
                <w:rFonts w:eastAsia="仿宋_GB2312"/>
                <w:color w:val="000000" w:themeColor="text1"/>
                <w:kern w:val="0"/>
                <w:sz w:val="24"/>
                <w14:textFill>
                  <w14:solidFill>
                    <w14:schemeClr w14:val="tx1"/>
                  </w14:solidFill>
                </w14:textFill>
              </w:rPr>
              <w:t>200</w:t>
            </w:r>
            <w:r>
              <w:rPr>
                <w:rFonts w:hAnsi="仿宋_GB2312" w:eastAsia="仿宋_GB2312"/>
                <w:color w:val="000000" w:themeColor="text1"/>
                <w:kern w:val="0"/>
                <w:sz w:val="24"/>
                <w14:textFill>
                  <w14:solidFill>
                    <w14:schemeClr w14:val="tx1"/>
                  </w14:solidFill>
                </w14:textFill>
              </w:rPr>
              <w:t>平方米及以上加</w:t>
            </w:r>
            <w:r>
              <w:rPr>
                <w:rFonts w:eastAsia="仿宋_GB2312"/>
                <w:color w:val="000000" w:themeColor="text1"/>
                <w:kern w:val="0"/>
                <w:sz w:val="24"/>
                <w14:textFill>
                  <w14:solidFill>
                    <w14:schemeClr w14:val="tx1"/>
                  </w14:solidFill>
                </w14:textFill>
              </w:rPr>
              <w:t>5</w:t>
            </w:r>
            <w:r>
              <w:rPr>
                <w:rFonts w:hAnsi="仿宋_GB2312" w:eastAsia="仿宋_GB2312"/>
                <w:color w:val="000000" w:themeColor="text1"/>
                <w:kern w:val="0"/>
                <w:sz w:val="24"/>
                <w14:textFill>
                  <w14:solidFill>
                    <w14:schemeClr w14:val="tx1"/>
                  </w14:solidFill>
                </w14:textFill>
              </w:rPr>
              <w:t>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w:t>
            </w:r>
            <w:r>
              <w:rPr>
                <w:rFonts w:hint="eastAsia" w:ascii="Times New Roman" w:hAnsi="Times New Roman" w:eastAsia="仿宋_GB2312" w:cs="Times New Roman"/>
                <w:color w:val="000000" w:themeColor="text1"/>
                <w:sz w:val="24"/>
                <w14:textFill>
                  <w14:solidFill>
                    <w14:schemeClr w14:val="tx1"/>
                  </w14:solidFill>
                </w14:textFill>
              </w:rPr>
              <w:t>3</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经营范围（5分）</w:t>
            </w:r>
          </w:p>
        </w:tc>
        <w:tc>
          <w:tcPr>
            <w:tcW w:w="8442" w:type="dxa"/>
            <w:tcBorders>
              <w:top w:val="single" w:color="auto" w:sz="4" w:space="0"/>
              <w:bottom w:val="single" w:color="auto" w:sz="4" w:space="0"/>
            </w:tcBorders>
            <w:vAlign w:val="center"/>
          </w:tcPr>
          <w:p>
            <w:pPr>
              <w:overflowPunct w:val="0"/>
              <w:rPr>
                <w:rFonts w:eastAsia="仿宋_GB2312"/>
                <w:color w:val="000000" w:themeColor="text1"/>
                <w:kern w:val="0"/>
                <w:sz w:val="24"/>
                <w14:textFill>
                  <w14:solidFill>
                    <w14:schemeClr w14:val="tx1"/>
                  </w14:solidFill>
                </w14:textFill>
              </w:rPr>
            </w:pPr>
            <w:r>
              <w:rPr>
                <w:rFonts w:hAnsi="仿宋_GB2312" w:eastAsia="仿宋_GB2312"/>
                <w:color w:val="000000" w:themeColor="text1"/>
                <w:kern w:val="0"/>
                <w:sz w:val="24"/>
                <w14:textFill>
                  <w14:solidFill>
                    <w14:schemeClr w14:val="tx1"/>
                  </w14:solidFill>
                </w14:textFill>
              </w:rPr>
              <w:t>服务场所内不同时出售保健品、食品、日用品、化妆品的，加</w:t>
            </w:r>
            <w:r>
              <w:rPr>
                <w:rFonts w:eastAsia="仿宋_GB2312"/>
                <w:color w:val="000000" w:themeColor="text1"/>
                <w:kern w:val="0"/>
                <w:sz w:val="24"/>
                <w14:textFill>
                  <w14:solidFill>
                    <w14:schemeClr w14:val="tx1"/>
                  </w14:solidFill>
                </w14:textFill>
              </w:rPr>
              <w:t>5</w:t>
            </w:r>
            <w:r>
              <w:rPr>
                <w:rFonts w:hAnsi="仿宋_GB2312" w:eastAsia="仿宋_GB2312"/>
                <w:color w:val="000000" w:themeColor="text1"/>
                <w:kern w:val="0"/>
                <w:sz w:val="24"/>
                <w14:textFill>
                  <w14:solidFill>
                    <w14:schemeClr w14:val="tx1"/>
                  </w14:solidFill>
                </w14:textFill>
              </w:rPr>
              <w:t>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w:t>
            </w:r>
            <w:r>
              <w:rPr>
                <w:rFonts w:hint="eastAsia" w:ascii="Times New Roman" w:hAnsi="Times New Roman" w:eastAsia="仿宋_GB2312" w:cs="Times New Roman"/>
                <w:color w:val="000000" w:themeColor="text1"/>
                <w:sz w:val="24"/>
                <w14:textFill>
                  <w14:solidFill>
                    <w14:schemeClr w14:val="tx1"/>
                  </w14:solidFill>
                </w14:textFill>
              </w:rPr>
              <w:t>4</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药师配备</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5</w:t>
            </w:r>
            <w:r>
              <w:rPr>
                <w:rFonts w:hint="eastAsia" w:eastAsia="仿宋_GB2312"/>
                <w:color w:val="000000" w:themeColor="text1"/>
                <w:sz w:val="24"/>
                <w14:textFill>
                  <w14:solidFill>
                    <w14:schemeClr w14:val="tx1"/>
                  </w14:solidFill>
                </w14:textFill>
              </w:rPr>
              <w:t>分）</w:t>
            </w:r>
          </w:p>
        </w:tc>
        <w:tc>
          <w:tcPr>
            <w:tcW w:w="8442" w:type="dxa"/>
            <w:tcBorders>
              <w:top w:val="single" w:color="auto" w:sz="4" w:space="0"/>
              <w:bottom w:val="single" w:color="auto" w:sz="4" w:space="0"/>
            </w:tcBorders>
            <w:vAlign w:val="center"/>
          </w:tcPr>
          <w:p>
            <w:pPr>
              <w:overflowPunct w:val="0"/>
              <w:rPr>
                <w:rFonts w:eastAsia="仿宋_GB2312"/>
                <w:color w:val="000000" w:themeColor="text1"/>
                <w:kern w:val="0"/>
                <w:sz w:val="24"/>
                <w14:textFill>
                  <w14:solidFill>
                    <w14:schemeClr w14:val="tx1"/>
                  </w14:solidFill>
                </w14:textFill>
              </w:rPr>
            </w:pPr>
            <w:r>
              <w:rPr>
                <w:rFonts w:hAnsi="仿宋_GB2312" w:eastAsia="仿宋_GB2312"/>
                <w:color w:val="000000" w:themeColor="text1"/>
                <w:kern w:val="0"/>
                <w:sz w:val="24"/>
                <w14:textFill>
                  <w14:solidFill>
                    <w14:schemeClr w14:val="tx1"/>
                  </w14:solidFill>
                </w14:textFill>
              </w:rPr>
              <w:t>注册在本药店并在本药店专职服务的执业药师</w:t>
            </w:r>
            <w:r>
              <w:rPr>
                <w:rFonts w:eastAsia="仿宋_GB2312"/>
                <w:color w:val="000000" w:themeColor="text1"/>
                <w:sz w:val="24"/>
                <w14:textFill>
                  <w14:solidFill>
                    <w14:schemeClr w14:val="tx1"/>
                  </w14:solidFill>
                </w14:textFill>
              </w:rPr>
              <w:t>（连续在本单位参保</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注册</w:t>
            </w:r>
            <w:r>
              <w:rPr>
                <w:rFonts w:hint="eastAsia" w:eastAsia="仿宋_GB2312"/>
                <w:color w:val="000000" w:themeColor="text1"/>
                <w:sz w:val="24"/>
                <w14:textFill>
                  <w14:solidFill>
                    <w14:schemeClr w14:val="tx1"/>
                  </w14:solidFill>
                </w14:textFill>
              </w:rPr>
              <w:t>和</w:t>
            </w:r>
            <w:r>
              <w:rPr>
                <w:rFonts w:eastAsia="仿宋_GB2312"/>
                <w:color w:val="000000" w:themeColor="text1"/>
                <w:sz w:val="24"/>
                <w14:textFill>
                  <w14:solidFill>
                    <w14:schemeClr w14:val="tx1"/>
                  </w14:solidFill>
                </w14:textFill>
              </w:rPr>
              <w:t>执业满三个月及以上，退休返聘除外）</w:t>
            </w:r>
            <w:r>
              <w:rPr>
                <w:rFonts w:hAnsi="仿宋_GB2312" w:eastAsia="仿宋_GB2312"/>
                <w:color w:val="000000" w:themeColor="text1"/>
                <w:kern w:val="0"/>
                <w:sz w:val="24"/>
                <w14:textFill>
                  <w14:solidFill>
                    <w14:schemeClr w14:val="tx1"/>
                  </w14:solidFill>
                </w14:textFill>
              </w:rPr>
              <w:t>达到</w:t>
            </w:r>
            <w:r>
              <w:rPr>
                <w:rFonts w:eastAsia="仿宋_GB2312"/>
                <w:color w:val="000000" w:themeColor="text1"/>
                <w:kern w:val="0"/>
                <w:sz w:val="24"/>
                <w14:textFill>
                  <w14:solidFill>
                    <w14:schemeClr w14:val="tx1"/>
                  </w14:solidFill>
                </w14:textFill>
              </w:rPr>
              <w:t>2</w:t>
            </w:r>
            <w:r>
              <w:rPr>
                <w:rFonts w:hAnsi="仿宋_GB2312" w:eastAsia="仿宋_GB2312"/>
                <w:color w:val="000000" w:themeColor="text1"/>
                <w:kern w:val="0"/>
                <w:sz w:val="24"/>
                <w14:textFill>
                  <w14:solidFill>
                    <w14:schemeClr w14:val="tx1"/>
                  </w14:solidFill>
                </w14:textFill>
              </w:rPr>
              <w:t>名及以上，加</w:t>
            </w:r>
            <w:r>
              <w:rPr>
                <w:rFonts w:eastAsia="仿宋_GB2312"/>
                <w:color w:val="000000" w:themeColor="text1"/>
                <w:kern w:val="0"/>
                <w:sz w:val="24"/>
                <w14:textFill>
                  <w14:solidFill>
                    <w14:schemeClr w14:val="tx1"/>
                  </w14:solidFill>
                </w14:textFill>
              </w:rPr>
              <w:t>5</w:t>
            </w:r>
            <w:r>
              <w:rPr>
                <w:rFonts w:hAnsi="仿宋_GB2312" w:eastAsia="仿宋_GB2312"/>
                <w:color w:val="000000" w:themeColor="text1"/>
                <w:kern w:val="0"/>
                <w:sz w:val="24"/>
                <w14:textFill>
                  <w14:solidFill>
                    <w14:schemeClr w14:val="tx1"/>
                  </w14:solidFill>
                </w14:textFill>
              </w:rPr>
              <w:t>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tcBorders>
              <w:lef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56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w:t>
            </w:r>
            <w:r>
              <w:rPr>
                <w:rFonts w:hint="eastAsia" w:ascii="Times New Roman" w:hAnsi="Times New Roman" w:eastAsia="仿宋_GB2312" w:cs="Times New Roman"/>
                <w:color w:val="000000" w:themeColor="text1"/>
                <w:sz w:val="24"/>
                <w14:textFill>
                  <w14:solidFill>
                    <w14:schemeClr w14:val="tx1"/>
                  </w14:solidFill>
                </w14:textFill>
              </w:rPr>
              <w:t>5</w:t>
            </w:r>
          </w:p>
        </w:tc>
        <w:tc>
          <w:tcPr>
            <w:tcW w:w="1932" w:type="dxa"/>
            <w:tcBorders>
              <w:top w:val="single" w:color="auto" w:sz="4" w:space="0"/>
              <w:bottom w:val="single" w:color="auto" w:sz="4" w:space="0"/>
            </w:tcBorders>
            <w:vAlign w:val="center"/>
          </w:tcPr>
          <w:p>
            <w:pPr>
              <w:overflowPunct w:val="0"/>
              <w:spacing w:line="32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医保药品备药率（</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分）</w:t>
            </w:r>
          </w:p>
        </w:tc>
        <w:tc>
          <w:tcPr>
            <w:tcW w:w="8442" w:type="dxa"/>
            <w:tcBorders>
              <w:top w:val="single" w:color="auto" w:sz="4" w:space="0"/>
              <w:bottom w:val="single" w:color="auto" w:sz="4" w:space="0"/>
            </w:tcBorders>
            <w:vAlign w:val="center"/>
          </w:tcPr>
          <w:p>
            <w:pPr>
              <w:pStyle w:val="10"/>
              <w:overflowPunct w:val="0"/>
              <w:autoSpaceDE/>
              <w:autoSpaceDN/>
              <w:spacing w:line="360" w:lineRule="exact"/>
              <w:jc w:val="both"/>
              <w:rPr>
                <w:rFonts w:ascii="Times New Roman" w:hAnsi="Times New Roman" w:eastAsia="仿宋_GB2312"/>
                <w:color w:val="000000" w:themeColor="text1"/>
                <w:kern w:val="2"/>
                <w14:textFill>
                  <w14:solidFill>
                    <w14:schemeClr w14:val="tx1"/>
                  </w14:solidFill>
                </w14:textFill>
              </w:rPr>
            </w:pPr>
            <w:r>
              <w:rPr>
                <w:rFonts w:ascii="Times New Roman" w:hAnsi="Times New Roman" w:eastAsia="仿宋_GB2312"/>
                <w:color w:val="000000" w:themeColor="text1"/>
                <w:kern w:val="2"/>
                <w14:textFill>
                  <w14:solidFill>
                    <w14:schemeClr w14:val="tx1"/>
                  </w14:solidFill>
                </w14:textFill>
              </w:rPr>
              <w:t>配备省招采平台目录范围内的医保药品，且占药店药品总数的80%，加</w:t>
            </w:r>
            <w:r>
              <w:rPr>
                <w:rFonts w:hint="eastAsia" w:ascii="Times New Roman" w:hAnsi="Times New Roman" w:eastAsia="仿宋_GB2312"/>
                <w:color w:val="000000" w:themeColor="text1"/>
                <w:kern w:val="2"/>
                <w14:textFill>
                  <w14:solidFill>
                    <w14:schemeClr w14:val="tx1"/>
                  </w14:solidFill>
                </w14:textFill>
              </w:rPr>
              <w:t>3</w:t>
            </w:r>
            <w:r>
              <w:rPr>
                <w:rFonts w:ascii="Times New Roman" w:hAnsi="Times New Roman" w:eastAsia="仿宋_GB2312"/>
                <w:color w:val="000000" w:themeColor="text1"/>
                <w:kern w:val="2"/>
                <w14:textFill>
                  <w14:solidFill>
                    <w14:schemeClr w14:val="tx1"/>
                  </w14:solidFill>
                </w14:textFill>
              </w:rPr>
              <w:t>分。配备国谈药品，每增加1种加0.1分，最高加</w:t>
            </w:r>
            <w:r>
              <w:rPr>
                <w:rFonts w:hint="eastAsia" w:ascii="Times New Roman" w:hAnsi="Times New Roman" w:eastAsia="仿宋_GB2312"/>
                <w:color w:val="000000" w:themeColor="text1"/>
                <w:kern w:val="2"/>
                <w14:textFill>
                  <w14:solidFill>
                    <w14:schemeClr w14:val="tx1"/>
                  </w14:solidFill>
                </w14:textFill>
              </w:rPr>
              <w:t>2</w:t>
            </w:r>
            <w:r>
              <w:rPr>
                <w:rFonts w:ascii="Times New Roman" w:hAnsi="Times New Roman" w:eastAsia="仿宋_GB2312"/>
                <w:color w:val="000000" w:themeColor="text1"/>
                <w:kern w:val="2"/>
                <w14:textFill>
                  <w14:solidFill>
                    <w14:schemeClr w14:val="tx1"/>
                  </w14:solidFill>
                </w14:textFill>
              </w:rPr>
              <w:t>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1" w:type="dxa"/>
            <w:vMerge w:val="continue"/>
            <w:tcBorders>
              <w:left w:val="single" w:color="auto" w:sz="4" w:space="0"/>
              <w:bottom w:val="single" w:color="auto" w:sz="4" w:space="0"/>
            </w:tcBorders>
            <w:vAlign w:val="center"/>
          </w:tcPr>
          <w:p>
            <w:pPr>
              <w:overflowPunct w:val="0"/>
              <w:spacing w:line="320" w:lineRule="exact"/>
              <w:jc w:val="center"/>
              <w:rPr>
                <w:rFonts w:eastAsia="仿宋_GB2312"/>
                <w:b/>
                <w:bCs/>
                <w:color w:val="000000" w:themeColor="text1"/>
                <w:sz w:val="24"/>
                <w14:textFill>
                  <w14:solidFill>
                    <w14:schemeClr w14:val="tx1"/>
                  </w14:solidFill>
                </w14:textFill>
              </w:rPr>
            </w:pPr>
          </w:p>
        </w:tc>
        <w:tc>
          <w:tcPr>
            <w:tcW w:w="10936" w:type="dxa"/>
            <w:gridSpan w:val="3"/>
            <w:tcBorders>
              <w:top w:val="single" w:color="auto" w:sz="4" w:space="0"/>
              <w:bottom w:val="single" w:color="auto" w:sz="4" w:space="0"/>
            </w:tcBorders>
            <w:vAlign w:val="center"/>
          </w:tcPr>
          <w:p>
            <w:pPr>
              <w:overflowPunct w:val="0"/>
              <w:spacing w:line="320" w:lineRule="exact"/>
              <w:jc w:val="center"/>
              <w:rPr>
                <w:rFonts w:eastAsia="仿宋_GB2312"/>
                <w:b/>
                <w:bCs/>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评估指标合计分值：</w:t>
            </w:r>
            <w:r>
              <w:rPr>
                <w:rFonts w:ascii="Times New Roman" w:hAnsi="Times New Roman" w:eastAsia="仿宋_GB2312" w:cs="Times New Roman"/>
                <w:b/>
                <w:color w:val="000000" w:themeColor="text1"/>
                <w:sz w:val="24"/>
                <w14:textFill>
                  <w14:solidFill>
                    <w14:schemeClr w14:val="tx1"/>
                  </w14:solidFill>
                </w14:textFill>
              </w:rPr>
              <w:t>1</w:t>
            </w:r>
            <w:r>
              <w:rPr>
                <w:rFonts w:hint="eastAsia" w:ascii="Times New Roman" w:hAnsi="Times New Roman" w:eastAsia="仿宋_GB2312" w:cs="Times New Roman"/>
                <w:b/>
                <w:color w:val="000000" w:themeColor="text1"/>
                <w:sz w:val="24"/>
                <w14:textFill>
                  <w14:solidFill>
                    <w14:schemeClr w14:val="tx1"/>
                  </w14:solidFill>
                </w14:textFill>
              </w:rPr>
              <w:t>0</w:t>
            </w:r>
            <w:r>
              <w:rPr>
                <w:rFonts w:ascii="Times New Roman" w:hAnsi="Times New Roman" w:eastAsia="仿宋_GB2312" w:cs="Times New Roman"/>
                <w:b/>
                <w:color w:val="000000" w:themeColor="text1"/>
                <w:sz w:val="24"/>
                <w14:textFill>
                  <w14:solidFill>
                    <w14:schemeClr w14:val="tx1"/>
                  </w14:solidFill>
                </w14:textFill>
              </w:rPr>
              <w:t>0</w:t>
            </w:r>
            <w:r>
              <w:rPr>
                <w:rFonts w:eastAsia="仿宋_GB2312"/>
                <w:b/>
                <w:bCs/>
                <w:color w:val="000000" w:themeColor="text1"/>
                <w:sz w:val="24"/>
                <w14:textFill>
                  <w14:solidFill>
                    <w14:schemeClr w14:val="tx1"/>
                  </w14:solidFill>
                </w14:textFill>
              </w:rPr>
              <w:t>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1637" w:type="dxa"/>
            <w:gridSpan w:val="4"/>
            <w:tcBorders>
              <w:top w:val="single" w:color="auto" w:sz="4" w:space="0"/>
              <w:left w:val="single" w:color="auto" w:sz="4" w:space="0"/>
              <w:bottom w:val="single" w:color="auto" w:sz="4" w:space="0"/>
            </w:tcBorders>
            <w:vAlign w:val="center"/>
          </w:tcPr>
          <w:p>
            <w:pPr>
              <w:overflowPunct w:val="0"/>
              <w:spacing w:line="320" w:lineRule="exact"/>
              <w:jc w:val="center"/>
              <w:rPr>
                <w:color w:val="000000" w:themeColor="text1"/>
                <w14:textFill>
                  <w14:solidFill>
                    <w14:schemeClr w14:val="tx1"/>
                  </w14:solidFill>
                </w14:textFill>
              </w:rPr>
            </w:pPr>
            <w:r>
              <w:rPr>
                <w:rFonts w:eastAsia="仿宋_GB2312"/>
                <w:b/>
                <w:bCs/>
                <w:color w:val="000000" w:themeColor="text1"/>
                <w:sz w:val="24"/>
                <w14:textFill>
                  <w14:solidFill>
                    <w14:schemeClr w14:val="tx1"/>
                  </w14:solidFill>
                </w14:textFill>
              </w:rPr>
              <w:t>评估指标合计得分：</w:t>
            </w:r>
          </w:p>
        </w:tc>
        <w:tc>
          <w:tcPr>
            <w:tcW w:w="702" w:type="dxa"/>
            <w:tcBorders>
              <w:top w:val="single" w:color="auto" w:sz="4" w:space="0"/>
              <w:bottom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c>
          <w:tcPr>
            <w:tcW w:w="702" w:type="dxa"/>
            <w:tcBorders>
              <w:top w:val="single" w:color="auto" w:sz="4" w:space="0"/>
              <w:bottom w:val="single" w:color="auto" w:sz="4" w:space="0"/>
              <w:right w:val="single" w:color="auto" w:sz="4" w:space="0"/>
            </w:tcBorders>
            <w:vAlign w:val="center"/>
          </w:tcPr>
          <w:p>
            <w:pPr>
              <w:overflowPunct w:val="0"/>
              <w:spacing w:line="320" w:lineRule="exact"/>
              <w:jc w:val="center"/>
              <w:rPr>
                <w:rFonts w:eastAsia="仿宋_GB2312"/>
                <w:color w:val="000000" w:themeColor="text1"/>
                <w:sz w:val="24"/>
                <w14:textFill>
                  <w14:solidFill>
                    <w14:schemeClr w14:val="tx1"/>
                  </w14:solidFill>
                </w14:textFill>
              </w:rPr>
            </w:pPr>
          </w:p>
        </w:tc>
      </w:tr>
    </w:tbl>
    <w:p>
      <w:pPr>
        <w:spacing w:before="62" w:beforeLines="20" w:line="320" w:lineRule="exact"/>
        <w:ind w:firstLine="480" w:firstLineChars="200"/>
        <w:rPr>
          <w:rFonts w:eastAsia="楷体_GB2312"/>
          <w:color w:val="000000" w:themeColor="text1"/>
          <w:sz w:val="24"/>
          <w14:textFill>
            <w14:solidFill>
              <w14:schemeClr w14:val="tx1"/>
            </w14:solidFill>
          </w14:textFill>
        </w:rPr>
      </w:pPr>
      <w:r>
        <w:rPr>
          <w:rFonts w:hint="eastAsia" w:eastAsia="楷体_GB2312"/>
          <w:color w:val="000000" w:themeColor="text1"/>
          <w:sz w:val="24"/>
          <w14:textFill>
            <w14:solidFill>
              <w14:schemeClr w14:val="tx1"/>
            </w14:solidFill>
          </w14:textFill>
        </w:rPr>
        <w:t>备注：基础指标有一项不合格，评估结果即为不合格；评估指标合计得分</w:t>
      </w:r>
      <w:r>
        <w:rPr>
          <w:rFonts w:hint="eastAsia" w:ascii="Times New Roman" w:hAnsi="Times New Roman" w:eastAsia="仿宋_GB2312" w:cs="Times New Roman"/>
          <w:color w:val="000000" w:themeColor="text1"/>
          <w:sz w:val="24"/>
          <w14:textFill>
            <w14:solidFill>
              <w14:schemeClr w14:val="tx1"/>
            </w14:solidFill>
          </w14:textFill>
        </w:rPr>
        <w:t>80</w:t>
      </w:r>
      <w:r>
        <w:rPr>
          <w:rFonts w:hint="eastAsia" w:eastAsia="楷体_GB2312"/>
          <w:color w:val="000000" w:themeColor="text1"/>
          <w:sz w:val="24"/>
          <w14:textFill>
            <w14:solidFill>
              <w14:schemeClr w14:val="tx1"/>
            </w14:solidFill>
          </w14:textFill>
        </w:rPr>
        <w:t>分以下，评估结果即为不合格。</w:t>
      </w:r>
    </w:p>
    <w:p>
      <w:pPr>
        <w:spacing w:before="62" w:beforeLines="20" w:line="320" w:lineRule="exact"/>
        <w:ind w:firstLine="480" w:firstLineChars="200"/>
        <w:rPr>
          <w:rFonts w:eastAsia="方正小标宋简体"/>
          <w:bCs/>
          <w:color w:val="000000" w:themeColor="text1"/>
          <w:kern w:val="0"/>
          <w:sz w:val="44"/>
          <w:szCs w:val="44"/>
          <w14:textFill>
            <w14:solidFill>
              <w14:schemeClr w14:val="tx1"/>
            </w14:solidFill>
          </w14:textFill>
        </w:rPr>
      </w:pPr>
      <w:r>
        <w:rPr>
          <w:rFonts w:hint="eastAsia" w:eastAsia="楷体_GB2312"/>
          <w:color w:val="000000" w:themeColor="text1"/>
          <w:sz w:val="24"/>
          <w14:textFill>
            <w14:solidFill>
              <w14:schemeClr w14:val="tx1"/>
            </w14:solidFill>
          </w14:textFill>
        </w:rPr>
        <w:t>现场评估人员签名：</w:t>
      </w:r>
    </w:p>
    <w:p>
      <w:pPr>
        <w:widowControl/>
        <w:jc w:val="left"/>
        <w:rPr>
          <w:color w:val="000000" w:themeColor="text1"/>
          <w14:textFill>
            <w14:solidFill>
              <w14:schemeClr w14:val="tx1"/>
            </w14:solidFill>
          </w14:textFill>
        </w:rPr>
        <w:sectPr>
          <w:pgSz w:w="16838" w:h="11906" w:orient="landscape"/>
          <w:pgMar w:top="567" w:right="1134" w:bottom="567" w:left="1134" w:header="284" w:footer="624" w:gutter="0"/>
          <w:cols w:space="425" w:num="1"/>
          <w:docGrid w:type="lines" w:linePitch="312" w:charSpace="0"/>
        </w:sectPr>
      </w:pPr>
      <w:r>
        <w:rPr>
          <w:color w:val="000000" w:themeColor="text1"/>
          <w14:textFill>
            <w14:solidFill>
              <w14:schemeClr w14:val="tx1"/>
            </w14:solidFill>
          </w14:textFill>
        </w:rPr>
        <w:br w:type="page"/>
      </w:r>
    </w:p>
    <w:p>
      <w:pPr>
        <w:rPr>
          <w:rFonts w:ascii="Times New Roman" w:hAnsi="黑体" w:eastAsia="黑体" w:cs="Times New Roman"/>
          <w:color w:val="000000" w:themeColor="text1"/>
          <w:kern w:val="0"/>
          <w:sz w:val="32"/>
          <w:szCs w:val="32"/>
          <w14:textFill>
            <w14:solidFill>
              <w14:schemeClr w14:val="tx1"/>
            </w14:solidFill>
          </w14:textFill>
        </w:rPr>
      </w:pPr>
      <w:r>
        <w:rPr>
          <w:rFonts w:hint="eastAsia" w:hAnsi="黑体" w:eastAsia="黑体"/>
          <w:color w:val="000000" w:themeColor="text1"/>
          <w:kern w:val="0"/>
          <w:sz w:val="32"/>
          <w:szCs w:val="32"/>
          <w14:textFill>
            <w14:solidFill>
              <w14:schemeClr w14:val="tx1"/>
            </w14:solidFill>
          </w14:textFill>
        </w:rPr>
        <w:t>附表</w:t>
      </w:r>
      <w:r>
        <w:rPr>
          <w:rFonts w:ascii="Times New Roman" w:hAnsi="Times New Roman" w:eastAsia="黑体" w:cs="Times New Roman"/>
          <w:color w:val="000000" w:themeColor="text1"/>
          <w:kern w:val="0"/>
          <w:sz w:val="32"/>
          <w:szCs w:val="32"/>
          <w14:textFill>
            <w14:solidFill>
              <w14:schemeClr w14:val="tx1"/>
            </w14:solidFill>
          </w14:textFill>
        </w:rPr>
        <w:t>5</w:t>
      </w:r>
    </w:p>
    <w:p>
      <w:pPr>
        <w:jc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台州市基本医疗保险新增定点</w:t>
      </w:r>
    </w:p>
    <w:p>
      <w:pPr>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医疗机构申请材料补正通知书</w:t>
      </w:r>
    </w:p>
    <w:p>
      <w:pPr>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经审核，你单位提交的医保新增定点申请材料缺失（不完整），需补正以下第</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项材料:</w:t>
      </w:r>
    </w:p>
    <w:p>
      <w:pPr>
        <w:spacing w:line="52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1.《台州市医疗保障定点医疗机构申请表》和《台州市医疗保障定点医疗机构评估表》；</w:t>
      </w:r>
    </w:p>
    <w:p>
      <w:pPr>
        <w:spacing w:line="52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2.医疗机构执业许可证或中医诊所备案证或军队医疗机构为民服务许可证照复印件；</w:t>
      </w:r>
    </w:p>
    <w:p>
      <w:pPr>
        <w:spacing w:line="52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3.与医保政策对应的内部管理制度和财务制度文本；</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4.与医保有关的医疗机构信息系统相关材料；</w:t>
      </w:r>
    </w:p>
    <w:p>
      <w:pPr>
        <w:spacing w:line="52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纳入定点后使用医疗保障基金的预测性分析报告；</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w:t>
      </w:r>
      <w:r>
        <w:rPr>
          <w:rFonts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按相关规定要求提供的其他材料。</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请你单位自收到本通知书之日起5个工作日内一次性提交补正材料，逾期未按要求一次性不补正的，根据实施细则的相关规定，视作放弃本次医保定点申请。</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特此告知。</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p>
    <w:p>
      <w:pPr>
        <w:ind w:firstLine="4760" w:firstLineChars="1700"/>
        <w:rPr>
          <w:rFonts w:ascii="仿宋_GB2312" w:hAnsi="Calibri" w:eastAsia="仿宋_GB2312" w:cs="Times New Roman"/>
          <w:color w:val="000000" w:themeColor="text1"/>
          <w:sz w:val="28"/>
          <w:szCs w:val="28"/>
          <w14:textFill>
            <w14:solidFill>
              <w14:schemeClr w14:val="tx1"/>
            </w14:solidFill>
          </w14:textFill>
        </w:rPr>
      </w:pPr>
      <w:r>
        <w:rPr>
          <w:rFonts w:hint="eastAsia" w:ascii="仿宋_GB2312" w:hAnsi="Calibri" w:eastAsia="仿宋_GB2312" w:cs="Times New Roman"/>
          <w:color w:val="000000" w:themeColor="text1"/>
          <w:sz w:val="28"/>
          <w:szCs w:val="28"/>
          <w14:textFill>
            <w14:solidFill>
              <w14:schemeClr w14:val="tx1"/>
            </w14:solidFill>
          </w14:textFill>
        </w:rPr>
        <w:t>台州市医疗保险服务中心</w:t>
      </w:r>
    </w:p>
    <w:p>
      <w:pPr>
        <w:ind w:firstLine="5320" w:firstLineChars="19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Calibri" w:eastAsia="仿宋_GB2312" w:cs="Times New Roman"/>
          <w:color w:val="000000" w:themeColor="text1"/>
          <w:sz w:val="28"/>
          <w:szCs w:val="28"/>
          <w14:textFill>
            <w14:solidFill>
              <w14:schemeClr w14:val="tx1"/>
            </w14:solidFill>
          </w14:textFill>
        </w:rPr>
        <w:t xml:space="preserve">  年  月  日</w:t>
      </w:r>
    </w:p>
    <w:p>
      <w:pPr>
        <w:rPr>
          <w:rFonts w:ascii="Calibri" w:hAnsi="Calibri" w:eastAsia="宋体" w:cs="Times New Roman"/>
          <w:color w:val="000000" w:themeColor="text1"/>
          <w14:textFill>
            <w14:solidFill>
              <w14:schemeClr w14:val="tx1"/>
            </w14:solidFill>
          </w14:textFill>
        </w:rPr>
      </w:pPr>
    </w:p>
    <w:p>
      <w:pPr>
        <w:rPr>
          <w:rFonts w:ascii="Calibri" w:hAnsi="Calibri" w:eastAsia="宋体" w:cs="Times New Roman"/>
          <w:color w:val="000000" w:themeColor="text1"/>
          <w14:textFill>
            <w14:solidFill>
              <w14:schemeClr w14:val="tx1"/>
            </w14:solidFill>
          </w14:textFill>
        </w:rPr>
      </w:pP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p>
    <w:p>
      <w:pPr>
        <w:spacing w:line="52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注:本通知书一式两份，医保经办机构和医保定点申请机构各执一份。</w:t>
      </w:r>
    </w:p>
    <w:p>
      <w:pPr>
        <w:rPr>
          <w:rFonts w:hAnsi="黑体" w:eastAsia="黑体"/>
          <w:color w:val="000000" w:themeColor="text1"/>
          <w:kern w:val="0"/>
          <w:sz w:val="32"/>
          <w:szCs w:val="32"/>
          <w14:textFill>
            <w14:solidFill>
              <w14:schemeClr w14:val="tx1"/>
            </w14:solidFill>
          </w14:textFill>
        </w:rPr>
      </w:pPr>
      <w:r>
        <w:rPr>
          <w:rFonts w:hint="eastAsia" w:hAnsi="黑体" w:eastAsia="黑体"/>
          <w:color w:val="000000" w:themeColor="text1"/>
          <w:kern w:val="0"/>
          <w:sz w:val="32"/>
          <w:szCs w:val="32"/>
          <w14:textFill>
            <w14:solidFill>
              <w14:schemeClr w14:val="tx1"/>
            </w14:solidFill>
          </w14:textFill>
        </w:rPr>
        <w:t>附表</w:t>
      </w:r>
      <w:r>
        <w:rPr>
          <w:rFonts w:ascii="Times New Roman" w:hAnsi="Times New Roman" w:eastAsia="黑体" w:cs="Times New Roman"/>
          <w:color w:val="000000" w:themeColor="text1"/>
          <w:kern w:val="0"/>
          <w:sz w:val="32"/>
          <w:szCs w:val="32"/>
          <w14:textFill>
            <w14:solidFill>
              <w14:schemeClr w14:val="tx1"/>
            </w14:solidFill>
          </w14:textFill>
        </w:rPr>
        <w:t>6</w:t>
      </w:r>
    </w:p>
    <w:p>
      <w:pPr>
        <w:spacing w:line="520" w:lineRule="exact"/>
        <w:ind w:firstLine="1800" w:firstLineChars="500"/>
        <w:rPr>
          <w:rFonts w:ascii="方正小标宋_GBK" w:hAnsi="方正小标宋_GBK" w:eastAsia="方正小标宋_GBK" w:cs="方正小标宋_GBK"/>
          <w:color w:val="000000" w:themeColor="text1"/>
          <w:sz w:val="24"/>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台州市基本医疗保险新增定点</w:t>
      </w:r>
    </w:p>
    <w:p>
      <w:pPr>
        <w:jc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零售药店申请材料补正通知书</w:t>
      </w:r>
    </w:p>
    <w:p>
      <w:pPr>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经审核，你单位提交的医保新增定点申请材料缺失（不完整），需补正以下第</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项材料:</w:t>
      </w:r>
    </w:p>
    <w:p>
      <w:pPr>
        <w:spacing w:line="52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1.《台州市医疗保障定点零售药店申请表》和《台州市医疗保障定点零售药店评估表》；</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2.药品经营许可证、营业执照和法定代表人、主要负责人或实</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际控制人身份证复印件；</w:t>
      </w:r>
    </w:p>
    <w:p>
      <w:pPr>
        <w:spacing w:line="52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3.执业药师资格证书或药学技术人员相关证书及其劳动合同复印件；</w:t>
      </w:r>
    </w:p>
    <w:p>
      <w:pPr>
        <w:spacing w:line="52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4.医保专（兼）职管理人员的劳动合同复印件；</w:t>
      </w:r>
    </w:p>
    <w:p>
      <w:pPr>
        <w:spacing w:line="52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.与医疗保障政策对应的内部管理制度和财务制度文本；</w:t>
      </w:r>
    </w:p>
    <w:p>
      <w:pPr>
        <w:spacing w:line="52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6.与医保有关的信息系统相关材料；</w:t>
      </w:r>
    </w:p>
    <w:p>
      <w:pPr>
        <w:spacing w:line="52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7</w:t>
      </w:r>
      <w:r>
        <w:rPr>
          <w:rFonts w:hint="eastAsia" w:ascii="仿宋_GB2312" w:hAnsi="仿宋_GB2312" w:eastAsia="仿宋_GB2312" w:cs="仿宋_GB2312"/>
          <w:color w:val="000000" w:themeColor="text1"/>
          <w:sz w:val="28"/>
          <w:szCs w:val="28"/>
          <w14:textFill>
            <w14:solidFill>
              <w14:schemeClr w14:val="tx1"/>
            </w14:solidFill>
          </w14:textFill>
        </w:rPr>
        <w:t>.纳入定点后使用医疗保障基金的预测性分析报告；</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8.按相关规定要求提供的其他材料。</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请你单位自收到本通知书之日起5个工作日内一次性提交补正材料，逾期未按要求一次性不补正的，根据实施细则的相关规定，视作放弃本次医保定点申请。</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特此告知。</w:t>
      </w:r>
    </w:p>
    <w:p>
      <w:pPr>
        <w:ind w:firstLine="4760" w:firstLineChars="1700"/>
        <w:rPr>
          <w:rFonts w:ascii="仿宋_GB2312" w:hAnsi="Calibri" w:eastAsia="仿宋_GB2312" w:cs="Times New Roman"/>
          <w:color w:val="000000" w:themeColor="text1"/>
          <w:sz w:val="28"/>
          <w:szCs w:val="28"/>
          <w14:textFill>
            <w14:solidFill>
              <w14:schemeClr w14:val="tx1"/>
            </w14:solidFill>
          </w14:textFill>
        </w:rPr>
      </w:pPr>
      <w:r>
        <w:rPr>
          <w:rFonts w:hint="eastAsia" w:ascii="仿宋_GB2312" w:hAnsi="Calibri" w:eastAsia="仿宋_GB2312" w:cs="Times New Roman"/>
          <w:color w:val="000000" w:themeColor="text1"/>
          <w:sz w:val="28"/>
          <w:szCs w:val="28"/>
          <w14:textFill>
            <w14:solidFill>
              <w14:schemeClr w14:val="tx1"/>
            </w14:solidFill>
          </w14:textFill>
        </w:rPr>
        <w:t>台州市医疗保险服务中心</w:t>
      </w:r>
    </w:p>
    <w:p>
      <w:pPr>
        <w:ind w:firstLine="5320" w:firstLineChars="19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Calibri" w:eastAsia="仿宋_GB2312" w:cs="Times New Roman"/>
          <w:color w:val="000000" w:themeColor="text1"/>
          <w:sz w:val="28"/>
          <w:szCs w:val="28"/>
          <w14:textFill>
            <w14:solidFill>
              <w14:schemeClr w14:val="tx1"/>
            </w14:solidFill>
          </w14:textFill>
        </w:rPr>
        <w:t xml:space="preserve">  年  月  日</w:t>
      </w:r>
    </w:p>
    <w:p>
      <w:pPr>
        <w:spacing w:line="520" w:lineRule="exact"/>
        <w:ind w:firstLine="480" w:firstLineChars="200"/>
        <w:rPr>
          <w:rFonts w:ascii="宋体" w:hAnsi="宋体" w:eastAsia="宋体" w:cs="宋体"/>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注:本通知书一式两份，医保经办机构和医保定点申请机构各执一份。</w:t>
      </w:r>
    </w:p>
    <w:p>
      <w:pPr>
        <w:overflowPunct w:val="0"/>
        <w:adjustRightInd w:val="0"/>
        <w:snapToGrid w:val="0"/>
        <w:spacing w:line="590" w:lineRule="exact"/>
        <w:jc w:val="left"/>
        <w:rPr>
          <w:rFonts w:hAnsi="黑体" w:eastAsia="黑体"/>
          <w:color w:val="000000" w:themeColor="text1"/>
          <w:kern w:val="0"/>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overflowPunct w:val="0"/>
        <w:adjustRightInd w:val="0"/>
        <w:snapToGrid w:val="0"/>
        <w:spacing w:line="590" w:lineRule="exact"/>
        <w:jc w:val="left"/>
        <w:rPr>
          <w:rFonts w:hAnsi="黑体" w:eastAsia="黑体"/>
          <w:color w:val="000000" w:themeColor="text1"/>
          <w:kern w:val="0"/>
          <w:sz w:val="32"/>
          <w:szCs w:val="32"/>
          <w14:textFill>
            <w14:solidFill>
              <w14:schemeClr w14:val="tx1"/>
            </w14:solidFill>
          </w14:textFill>
        </w:rPr>
      </w:pPr>
      <w:r>
        <w:rPr>
          <w:rFonts w:hAnsi="黑体" w:eastAsia="黑体"/>
          <w:color w:val="000000" w:themeColor="text1"/>
          <w:kern w:val="0"/>
          <w:sz w:val="32"/>
          <w:szCs w:val="32"/>
          <w14:textFill>
            <w14:solidFill>
              <w14:schemeClr w14:val="tx1"/>
            </w14:solidFill>
          </w14:textFill>
        </w:rPr>
        <w:t>附</w:t>
      </w:r>
      <w:r>
        <w:rPr>
          <w:rFonts w:hint="eastAsia" w:hAnsi="黑体" w:eastAsia="黑体"/>
          <w:color w:val="000000" w:themeColor="text1"/>
          <w:kern w:val="0"/>
          <w:sz w:val="32"/>
          <w:szCs w:val="32"/>
          <w14:textFill>
            <w14:solidFill>
              <w14:schemeClr w14:val="tx1"/>
            </w14:solidFill>
          </w14:textFill>
        </w:rPr>
        <w:t>表</w:t>
      </w:r>
      <w:r>
        <w:rPr>
          <w:rFonts w:ascii="Times New Roman" w:hAnsi="Times New Roman" w:eastAsia="黑体" w:cs="Times New Roman"/>
          <w:color w:val="000000" w:themeColor="text1"/>
          <w:kern w:val="0"/>
          <w:sz w:val="32"/>
          <w:szCs w:val="32"/>
          <w14:textFill>
            <w14:solidFill>
              <w14:schemeClr w14:val="tx1"/>
            </w14:solidFill>
          </w14:textFill>
        </w:rPr>
        <w:t>7</w:t>
      </w: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7846695</wp:posOffset>
                </wp:positionH>
                <wp:positionV relativeFrom="paragraph">
                  <wp:posOffset>-313055</wp:posOffset>
                </wp:positionV>
                <wp:extent cx="1618615" cy="39052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618615" cy="390525"/>
                        </a:xfrm>
                        <a:prstGeom prst="rect">
                          <a:avLst/>
                        </a:prstGeom>
                        <a:noFill/>
                        <a:ln>
                          <a:noFill/>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编号：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7.85pt;margin-top:-24.65pt;height:30.75pt;width:127.45pt;z-index:251660288;mso-width-relative:page;mso-height-relative:page;" filled="f" stroked="f" coordsize="21600,21600" o:gfxdata="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DejUq2AAAAAwBAAAP&#10;AAAAAAAAAAEAIAAAACIAAABkcnMvZG93bnJldi54bWxQSwECFAAUAAAACACHTuJAD3pfhRgCAAAV&#10;BAAADgAAAAAAAAABACAAAAAnAQAAZHJzL2Uyb0RvYy54bWxQSwUGAAAAAAYABgBZAQAAsQUAAAAA&#10;">
                <v:fill on="f" focussize="0,0"/>
                <v:stroke on="f"/>
                <v:imagedata o:title=""/>
                <o:lock v:ext="edit" aspectratio="f"/>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编号：</w:t>
                      </w:r>
                    </w:p>
                  </w:txbxContent>
                </v:textbox>
              </v:shape>
            </w:pict>
          </mc:Fallback>
        </mc:AlternateContent>
      </w:r>
      <w:r>
        <w:rPr>
          <w:rFonts w:hint="eastAsia" w:ascii="方正小标宋_GBK" w:hAnsi="方正小标宋_GBK" w:eastAsia="方正小标宋_GBK" w:cs="方正小标宋_GBK"/>
          <w:color w:val="000000" w:themeColor="text1"/>
          <w:sz w:val="44"/>
          <w:szCs w:val="44"/>
          <w14:textFill>
            <w14:solidFill>
              <w14:schemeClr w14:val="tx1"/>
            </w14:solidFill>
          </w14:textFill>
        </w:rPr>
        <w:t>台州市医疗保障局信息系统验收通过单</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医保定点申请单位</w:t>
      </w:r>
      <w:r>
        <w:rPr>
          <w:rFonts w:ascii="仿宋_GB2312" w:eastAsia="仿宋_GB2312"/>
          <w:color w:val="000000" w:themeColor="text1"/>
          <w:sz w:val="32"/>
          <w:szCs w:val="32"/>
          <w14:textFill>
            <w14:solidFill>
              <w14:schemeClr w14:val="tx1"/>
            </w14:solidFill>
          </w14:textFill>
        </w:rPr>
        <w:t>：</w:t>
      </w:r>
    </w:p>
    <w:tbl>
      <w:tblPr>
        <w:tblStyle w:val="7"/>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5"/>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5" w:type="dxa"/>
            <w:vAlign w:val="center"/>
          </w:tcPr>
          <w:p>
            <w:pPr>
              <w:spacing w:line="40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验收内容</w:t>
            </w:r>
          </w:p>
        </w:tc>
        <w:tc>
          <w:tcPr>
            <w:tcW w:w="6855" w:type="dxa"/>
            <w:vAlign w:val="center"/>
          </w:tcPr>
          <w:p>
            <w:pPr>
              <w:spacing w:line="40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705" w:type="dxa"/>
            <w:vAlign w:val="center"/>
          </w:tcPr>
          <w:p>
            <w:pPr>
              <w:spacing w:line="400" w:lineRule="exact"/>
              <w:ind w:firstLine="560" w:firstLineChars="200"/>
              <w:contextualSpacing/>
              <w:rPr>
                <w:rFonts w:ascii="仿宋_GB2312" w:eastAsia="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医保部门要求完成的医保信息系统、监管平台软硬件配置和改造，医保网络接入等各项工作，具体见《台州市定点医药机构联网结算测试验收单》。</w:t>
            </w:r>
          </w:p>
        </w:tc>
        <w:tc>
          <w:tcPr>
            <w:tcW w:w="6855" w:type="dxa"/>
          </w:tcPr>
          <w:p>
            <w:pPr>
              <w:spacing w:line="300" w:lineRule="exact"/>
              <w:rPr>
                <w:color w:val="000000" w:themeColor="text1"/>
                <w:sz w:val="28"/>
                <w:szCs w:val="28"/>
                <w14:textFill>
                  <w14:solidFill>
                    <w14:schemeClr w14:val="tx1"/>
                  </w14:solidFill>
                </w14:textFill>
              </w:rPr>
            </w:pPr>
          </w:p>
        </w:tc>
      </w:tr>
    </w:tbl>
    <w:p>
      <w:pPr>
        <w:spacing w:line="400" w:lineRule="exact"/>
        <w:contextualSpacing/>
        <w:rPr>
          <w:rFonts w:ascii="仿宋_GB2312" w:hAnsi="仿宋_GB2312" w:eastAsia="仿宋_GB2312" w:cs="仿宋_GB2312"/>
          <w:color w:val="000000" w:themeColor="text1"/>
          <w:kern w:val="0"/>
          <w:sz w:val="32"/>
          <w:szCs w:val="32"/>
          <w14:textFill>
            <w14:solidFill>
              <w14:schemeClr w14:val="tx1"/>
            </w14:solidFill>
          </w14:textFill>
        </w:rPr>
      </w:pPr>
    </w:p>
    <w:p>
      <w:pPr>
        <w:spacing w:line="400" w:lineRule="exact"/>
        <w:contextualSpacing/>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单位</w:t>
      </w:r>
      <w:r>
        <w:rPr>
          <w:rFonts w:ascii="仿宋_GB2312" w:hAnsi="仿宋_GB2312" w:eastAsia="仿宋_GB2312" w:cs="仿宋_GB2312"/>
          <w:color w:val="000000" w:themeColor="text1"/>
          <w:kern w:val="0"/>
          <w:sz w:val="32"/>
          <w:szCs w:val="32"/>
          <w14:textFill>
            <w14:solidFill>
              <w14:schemeClr w14:val="tx1"/>
            </w14:solidFill>
          </w14:textFill>
        </w:rPr>
        <w:t>法</w:t>
      </w:r>
      <w:r>
        <w:rPr>
          <w:rFonts w:hint="eastAsia" w:ascii="仿宋_GB2312" w:hAnsi="仿宋_GB2312" w:eastAsia="仿宋_GB2312" w:cs="仿宋_GB2312"/>
          <w:color w:val="000000" w:themeColor="text1"/>
          <w:kern w:val="0"/>
          <w:sz w:val="32"/>
          <w:szCs w:val="32"/>
          <w14:textFill>
            <w14:solidFill>
              <w14:schemeClr w14:val="tx1"/>
            </w14:solidFill>
          </w14:textFill>
        </w:rPr>
        <w:t>定</w:t>
      </w:r>
      <w:r>
        <w:rPr>
          <w:rFonts w:ascii="仿宋_GB2312" w:hAnsi="仿宋_GB2312" w:eastAsia="仿宋_GB2312" w:cs="仿宋_GB2312"/>
          <w:color w:val="000000" w:themeColor="text1"/>
          <w:kern w:val="0"/>
          <w:sz w:val="32"/>
          <w:szCs w:val="32"/>
          <w14:textFill>
            <w14:solidFill>
              <w14:schemeClr w14:val="tx1"/>
            </w14:solidFill>
          </w14:textFill>
        </w:rPr>
        <w:t>代表人</w:t>
      </w:r>
      <w:r>
        <w:rPr>
          <w:rFonts w:hint="eastAsia" w:ascii="仿宋_GB2312" w:hAnsi="仿宋_GB2312" w:eastAsia="仿宋_GB2312" w:cs="仿宋_GB2312"/>
          <w:color w:val="000000" w:themeColor="text1"/>
          <w:kern w:val="0"/>
          <w:sz w:val="32"/>
          <w:szCs w:val="32"/>
          <w14:textFill>
            <w14:solidFill>
              <w14:schemeClr w14:val="tx1"/>
            </w14:solidFill>
          </w14:textFill>
        </w:rPr>
        <w:t>/负责人签名</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验收</w:t>
      </w:r>
      <w:r>
        <w:rPr>
          <w:rFonts w:ascii="仿宋_GB2312" w:hAnsi="仿宋_GB2312" w:eastAsia="仿宋_GB2312" w:cs="仿宋_GB2312"/>
          <w:color w:val="000000" w:themeColor="text1"/>
          <w:kern w:val="0"/>
          <w:sz w:val="32"/>
          <w:szCs w:val="32"/>
          <w14:textFill>
            <w14:solidFill>
              <w14:schemeClr w14:val="tx1"/>
            </w14:solidFill>
          </w14:textFill>
        </w:rPr>
        <w:t>小组签名：</w:t>
      </w:r>
    </w:p>
    <w:p>
      <w:pPr>
        <w:spacing w:line="400" w:lineRule="exact"/>
        <w:ind w:firstLine="1120" w:firstLineChars="350"/>
        <w:contextualSpacing/>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年   月  </w:t>
      </w:r>
      <w:r>
        <w:rPr>
          <w:rFonts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日                                    </w:t>
      </w:r>
      <w:r>
        <w:rPr>
          <w:rFonts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年   月  </w:t>
      </w:r>
      <w:r>
        <w:rPr>
          <w:rFonts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spacing w:line="400" w:lineRule="exact"/>
        <w:contextualSpacing/>
        <w:rPr>
          <w:rFonts w:ascii="仿宋_GB2312" w:hAnsi="仿宋_GB2312" w:eastAsia="仿宋_GB2312" w:cs="仿宋_GB2312"/>
          <w:color w:val="000000" w:themeColor="text1"/>
          <w:kern w:val="0"/>
          <w:sz w:val="32"/>
          <w:szCs w:val="32"/>
          <w14:textFill>
            <w14:solidFill>
              <w14:schemeClr w14:val="tx1"/>
            </w14:solidFill>
          </w14:textFill>
        </w:rPr>
      </w:pPr>
    </w:p>
    <w:p>
      <w:pPr>
        <w:spacing w:line="400" w:lineRule="exact"/>
        <w:ind w:firstLine="560" w:firstLineChars="200"/>
        <w:contextualSpacing/>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注</w:t>
      </w:r>
      <w:r>
        <w:rPr>
          <w:rFonts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kern w:val="0"/>
          <w:sz w:val="28"/>
          <w:szCs w:val="28"/>
          <w14:textFill>
            <w14:solidFill>
              <w14:schemeClr w14:val="tx1"/>
            </w14:solidFill>
          </w14:textFill>
        </w:rPr>
        <w:t>医药机构自收到本通过单之日起10个工作日内向辖区医保经办机构申请签订医保服务协议、开通医保结算，因自身原因逾期未签订医保协议的，视作自动放弃本次定点申请。</w:t>
      </w:r>
    </w:p>
    <w:p>
      <w:pPr>
        <w:spacing w:line="400" w:lineRule="exact"/>
        <w:ind w:firstLine="11200" w:firstLineChars="3500"/>
        <w:contextualSpacing/>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我已</w:t>
      </w:r>
      <w:r>
        <w:rPr>
          <w:rFonts w:ascii="仿宋_GB2312" w:hAnsi="仿宋_GB2312" w:eastAsia="仿宋_GB2312" w:cs="仿宋_GB2312"/>
          <w:color w:val="000000" w:themeColor="text1"/>
          <w:kern w:val="0"/>
          <w:sz w:val="32"/>
          <w:szCs w:val="32"/>
          <w14:textFill>
            <w14:solidFill>
              <w14:schemeClr w14:val="tx1"/>
            </w14:solidFill>
          </w14:textFill>
        </w:rPr>
        <w:t>知悉</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400" w:lineRule="exact"/>
        <w:ind w:firstLine="640" w:firstLineChars="200"/>
        <w:contextualSpacing/>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ascii="仿宋_GB2312" w:hAnsi="仿宋_GB2312" w:eastAsia="仿宋_GB2312" w:cs="仿宋_GB2312"/>
          <w:color w:val="000000" w:themeColor="text1"/>
          <w:kern w:val="0"/>
          <w:sz w:val="32"/>
          <w:szCs w:val="32"/>
          <w14:textFill>
            <w14:solidFill>
              <w14:schemeClr w14:val="tx1"/>
            </w14:solidFill>
          </w14:textFill>
        </w:rPr>
        <w:t xml:space="preserve">  </w:t>
      </w:r>
      <w:r>
        <w:rPr>
          <w:rFonts w:ascii="仿宋_GB2312" w:hAnsi="仿宋_GB2312" w:eastAsia="仿宋_GB2312" w:cs="仿宋_GB2312"/>
          <w:color w:val="000000" w:themeColor="text1"/>
          <w:kern w:val="0"/>
          <w:sz w:val="32"/>
          <w:szCs w:val="32"/>
          <w:u w:val="single"/>
          <w14:textFill>
            <w14:solidFill>
              <w14:schemeClr w14:val="tx1"/>
            </w14:solidFill>
          </w14:textFill>
        </w:rPr>
        <w:t xml:space="preserve">             </w:t>
      </w:r>
    </w:p>
    <w:p>
      <w:pPr>
        <w:spacing w:line="560" w:lineRule="exact"/>
        <w:ind w:firstLine="640" w:firstLineChars="200"/>
        <w:contextualSpacing/>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单位</w:t>
      </w:r>
      <w:r>
        <w:rPr>
          <w:rFonts w:ascii="仿宋_GB2312" w:hAnsi="仿宋_GB2312" w:eastAsia="仿宋_GB2312" w:cs="仿宋_GB2312"/>
          <w:color w:val="000000" w:themeColor="text1"/>
          <w:kern w:val="0"/>
          <w:sz w:val="32"/>
          <w:szCs w:val="32"/>
          <w14:textFill>
            <w14:solidFill>
              <w14:schemeClr w14:val="tx1"/>
            </w14:solidFill>
          </w14:textFill>
        </w:rPr>
        <w:t>法</w:t>
      </w:r>
      <w:r>
        <w:rPr>
          <w:rFonts w:hint="eastAsia" w:ascii="仿宋_GB2312" w:hAnsi="仿宋_GB2312" w:eastAsia="仿宋_GB2312" w:cs="仿宋_GB2312"/>
          <w:color w:val="000000" w:themeColor="text1"/>
          <w:kern w:val="0"/>
          <w:sz w:val="32"/>
          <w:szCs w:val="32"/>
          <w14:textFill>
            <w14:solidFill>
              <w14:schemeClr w14:val="tx1"/>
            </w14:solidFill>
          </w14:textFill>
        </w:rPr>
        <w:t>定</w:t>
      </w:r>
      <w:r>
        <w:rPr>
          <w:rFonts w:ascii="仿宋_GB2312" w:hAnsi="仿宋_GB2312" w:eastAsia="仿宋_GB2312" w:cs="仿宋_GB2312"/>
          <w:color w:val="000000" w:themeColor="text1"/>
          <w:kern w:val="0"/>
          <w:sz w:val="32"/>
          <w:szCs w:val="32"/>
          <w14:textFill>
            <w14:solidFill>
              <w14:schemeClr w14:val="tx1"/>
            </w14:solidFill>
          </w14:textFill>
        </w:rPr>
        <w:t>代表人</w:t>
      </w:r>
      <w:r>
        <w:rPr>
          <w:rFonts w:hint="eastAsia" w:ascii="仿宋_GB2312" w:hAnsi="仿宋_GB2312" w:eastAsia="仿宋_GB2312" w:cs="仿宋_GB2312"/>
          <w:color w:val="000000" w:themeColor="text1"/>
          <w:kern w:val="0"/>
          <w:sz w:val="32"/>
          <w:szCs w:val="32"/>
          <w14:textFill>
            <w14:solidFill>
              <w14:schemeClr w14:val="tx1"/>
            </w14:solidFill>
          </w14:textFill>
        </w:rPr>
        <w:t>/负责人签名：</w:t>
      </w:r>
    </w:p>
    <w:p>
      <w:pPr>
        <w:pStyle w:val="2"/>
        <w:spacing w:line="560" w:lineRule="exact"/>
        <w:sectPr>
          <w:pgSz w:w="16838" w:h="11906" w:orient="landscape"/>
          <w:pgMar w:top="1800" w:right="1440" w:bottom="1800" w:left="1440" w:header="851" w:footer="992" w:gutter="0"/>
          <w:cols w:space="425" w:num="1"/>
          <w:docGrid w:type="lines" w:linePitch="312" w:charSpace="0"/>
        </w:sectPr>
      </w:pPr>
    </w:p>
    <w:p>
      <w:pPr>
        <w:jc w:val="center"/>
        <w:rPr>
          <w:rFonts w:ascii="黑体" w:hAnsi="黑体" w:eastAsia="黑体" w:cs="黑体"/>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台州市定点医药机构联网结算测试验收单</w:t>
      </w:r>
    </w:p>
    <w:p>
      <w:pPr>
        <w:rPr>
          <w:rFonts w:ascii="仿宋_GB2312" w:hAnsi="仿宋_GB2312" w:eastAsia="仿宋_GB2312" w:cs="仿宋_GB2312"/>
          <w:color w:val="000000" w:themeColor="text1"/>
          <w:sz w:val="32"/>
          <w:szCs w:val="32"/>
          <w14:textFill>
            <w14:solidFill>
              <w14:schemeClr w14:val="tx1"/>
            </w14:solidFill>
          </w14:textFill>
        </w:rPr>
      </w:pP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验收单分为两部分，第一部分（表格一和表格二）为接口内容测试情况验收，需要由定点医药机构填写；第二部分（表格三）为业务场景测试情况验收，需要由医保局业务专家填写；请认真阅读表格中文字，测试通过内容请打“√”，无需测试内容请填写“无”。</w:t>
      </w:r>
    </w:p>
    <w:p>
      <w:pPr>
        <w:rPr>
          <w:rFonts w:ascii="仿宋_GB2312" w:hAnsi="仿宋_GB2312" w:eastAsia="仿宋_GB2312" w:cs="仿宋_GB2312"/>
          <w:b/>
          <w:bCs/>
          <w:color w:val="000000" w:themeColor="text1"/>
          <w:sz w:val="32"/>
          <w:szCs w:val="32"/>
          <w14:textFill>
            <w14:solidFill>
              <w14:schemeClr w14:val="tx1"/>
            </w14:solidFill>
          </w14:textFill>
        </w:rPr>
      </w:pPr>
    </w:p>
    <w:p>
      <w:pP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定点医药机构编号：</w:t>
      </w:r>
    </w:p>
    <w:p>
      <w:pP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定点医药机构名称：</w:t>
      </w:r>
    </w:p>
    <w:p>
      <w:pPr>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（盖章）</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表格一：接口内容测试情况</w:t>
      </w:r>
      <w:r>
        <w:rPr>
          <w:rFonts w:hint="eastAsia"/>
          <w:b/>
          <w:bCs/>
          <w:color w:val="000000" w:themeColor="text1"/>
          <w:sz w:val="24"/>
          <w14:textFill>
            <w14:solidFill>
              <w14:schemeClr w14:val="tx1"/>
            </w14:solidFill>
          </w14:textFill>
        </w:rPr>
        <w:t>（医疗机构使用）</w:t>
      </w:r>
    </w:p>
    <w:tbl>
      <w:tblPr>
        <w:tblStyle w:val="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90"/>
        <w:gridCol w:w="4128"/>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shd w:val="clear" w:color="auto" w:fill="D7D7D7" w:themeFill="background1" w:themeFillShade="D8"/>
          </w:tcPr>
          <w:p>
            <w:pPr>
              <w:widowControl/>
              <w:jc w:val="center"/>
              <w:textAlignment w:val="center"/>
              <w:rPr>
                <w:rFonts w:ascii="仿宋" w:hAnsi="仿宋" w:eastAsia="仿宋" w:cs="仿宋"/>
                <w:b/>
                <w:bCs/>
                <w:color w:val="000000" w:themeColor="text1"/>
                <w:kern w:val="0"/>
                <w:sz w:val="22"/>
                <w:szCs w:val="22"/>
                <w:lang w:bidi="ar"/>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序号</w:t>
            </w:r>
          </w:p>
        </w:tc>
        <w:tc>
          <w:tcPr>
            <w:tcW w:w="1290" w:type="dxa"/>
            <w:shd w:val="clear" w:color="auto" w:fill="D7D7D7" w:themeFill="background1" w:themeFillShade="D8"/>
          </w:tcPr>
          <w:p>
            <w:pPr>
              <w:widowControl/>
              <w:jc w:val="center"/>
              <w:textAlignment w:val="center"/>
              <w:rPr>
                <w:rFonts w:ascii="仿宋" w:hAnsi="仿宋" w:eastAsia="仿宋" w:cs="仿宋"/>
                <w:b/>
                <w:bCs/>
                <w:color w:val="000000" w:themeColor="text1"/>
                <w:kern w:val="0"/>
                <w:sz w:val="22"/>
                <w:szCs w:val="22"/>
                <w:lang w:bidi="ar"/>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接口编号</w:t>
            </w:r>
          </w:p>
        </w:tc>
        <w:tc>
          <w:tcPr>
            <w:tcW w:w="4128" w:type="dxa"/>
            <w:shd w:val="clear" w:color="auto" w:fill="D7D7D7" w:themeFill="background1" w:themeFillShade="D8"/>
          </w:tcPr>
          <w:p>
            <w:pPr>
              <w:widowControl/>
              <w:jc w:val="center"/>
              <w:textAlignment w:val="center"/>
              <w:rPr>
                <w:rFonts w:ascii="仿宋" w:hAnsi="仿宋" w:eastAsia="仿宋" w:cs="仿宋"/>
                <w:b/>
                <w:bCs/>
                <w:color w:val="000000" w:themeColor="text1"/>
                <w:kern w:val="0"/>
                <w:sz w:val="22"/>
                <w:szCs w:val="22"/>
                <w:lang w:bidi="ar"/>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接口名称</w:t>
            </w:r>
          </w:p>
        </w:tc>
        <w:tc>
          <w:tcPr>
            <w:tcW w:w="2329" w:type="dxa"/>
            <w:shd w:val="clear" w:color="auto" w:fill="D7D7D7" w:themeFill="background1" w:themeFillShade="D8"/>
          </w:tcPr>
          <w:p>
            <w:pPr>
              <w:widowControl/>
              <w:jc w:val="center"/>
              <w:textAlignment w:val="center"/>
              <w:rPr>
                <w:rFonts w:ascii="仿宋" w:hAnsi="仿宋" w:eastAsia="仿宋" w:cs="仿宋"/>
                <w:b/>
                <w:bCs/>
                <w:color w:val="000000" w:themeColor="text1"/>
                <w:kern w:val="0"/>
                <w:sz w:val="22"/>
                <w:szCs w:val="22"/>
                <w:lang w:bidi="ar"/>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机构是否通过测试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1101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人员基本信息获取（医保电子凭证、社保卡）</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1201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医药机构信息获取</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西药中成药目录下载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1302</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中药饮片目录下载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1303</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医疗机构制剂目录下载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6</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1304</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民族药品目录下载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7</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1305</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医疗服务项目目录下载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8</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1306</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医用耗材目录下载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9</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1307</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疾病与诊断目录下载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10</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1308</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手术操作目录下载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11</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1309</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门诊慢特病种目录下载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12</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1310</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按病种付费病种目录下载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日间手术治疗病种目录下载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14</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1312</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医保目录信息下载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15</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1313</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肿瘤形态学目录下载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16</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1314</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中医疾病目录下载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17</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1315</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中医证候目录下载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18</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1316</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医疗目录与医保目录匹配信息下载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19</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1317</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医药机构目录匹配信息下载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20</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1318</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医保目录限价信息下载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21</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1319</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医保目录先自付比例信息下载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22</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1901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字典表下载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23</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2001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人员待遇享受检查</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24</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2201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门诊挂号</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25</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2202</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门诊挂号撤销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26</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2203A</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门诊就诊信息上传</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27</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2204</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门诊费用明细信息上传</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28</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2205</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门诊费用明细信息撤销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29</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2206A</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门诊预结算</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30</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2207A</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门诊结算</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31</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2208</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门诊结算撤销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32</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2301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住院费用明细上传</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33</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2302</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住院费用明细撤销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34</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2303A</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住院预结算</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35</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2304A</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住院结算</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36</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2305</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住院结算撤销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37</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2401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入院办理</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38</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2402</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出院办理</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39</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2403</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入院信息变更</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40</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2404</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入院撤销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41</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2405</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出院撤销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42</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2501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转院备案</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43</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2502</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转院备案撤销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4</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2505</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人员定点备案</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5</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2506</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人员定点备案撤销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6</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2601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冲正交易</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7</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3201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医药机构费用结算对总账</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8</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3202</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医药机构费用结算对明细账</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9</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w:t>
            </w:r>
            <w:r>
              <w:rPr>
                <w:rFonts w:ascii="仿宋" w:hAnsi="仿宋" w:eastAsia="仿宋" w:cs="仿宋"/>
                <w:color w:val="000000" w:themeColor="text1"/>
                <w:kern w:val="0"/>
                <w:sz w:val="22"/>
                <w:szCs w:val="22"/>
                <w:lang w:bidi="ar"/>
                <w14:textFill>
                  <w14:solidFill>
                    <w14:schemeClr w14:val="tx1"/>
                  </w14:solidFill>
                </w14:textFill>
              </w:rPr>
              <w:t>505</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就医地结算数据对账（异地就医）</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w:t>
            </w:r>
            <w:r>
              <w:rPr>
                <w:rFonts w:ascii="仿宋" w:hAnsi="仿宋" w:eastAsia="仿宋" w:cs="仿宋"/>
                <w:color w:val="000000" w:themeColor="text1"/>
                <w:kern w:val="0"/>
                <w:sz w:val="22"/>
                <w:szCs w:val="22"/>
                <w:lang w:bidi="ar"/>
                <w14:textFill>
                  <w14:solidFill>
                    <w14:schemeClr w14:val="tx1"/>
                  </w14:solidFill>
                </w14:textFill>
              </w:rPr>
              <w:t>0</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w:t>
            </w:r>
            <w:r>
              <w:rPr>
                <w:rFonts w:ascii="仿宋" w:hAnsi="仿宋" w:eastAsia="仿宋" w:cs="仿宋"/>
                <w:color w:val="000000" w:themeColor="text1"/>
                <w:kern w:val="0"/>
                <w:sz w:val="22"/>
                <w:szCs w:val="22"/>
                <w:lang w:bidi="ar"/>
                <w14:textFill>
                  <w14:solidFill>
                    <w14:schemeClr w14:val="tx1"/>
                  </w14:solidFill>
                </w14:textFill>
              </w:rPr>
              <w:t>812</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就医地未完成对账数据下载（异地就医）</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51</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3301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目录对照上传</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3302</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目录对照撤销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w:t>
            </w:r>
            <w:r>
              <w:rPr>
                <w:rFonts w:ascii="仿宋" w:hAnsi="仿宋" w:eastAsia="仿宋" w:cs="仿宋"/>
                <w:color w:val="000000" w:themeColor="text1"/>
                <w:kern w:val="0"/>
                <w:sz w:val="22"/>
                <w:szCs w:val="22"/>
                <w:lang w:bidi="ar"/>
                <w14:textFill>
                  <w14:solidFill>
                    <w14:schemeClr w14:val="tx1"/>
                  </w14:solidFill>
                </w14:textFill>
              </w:rPr>
              <w:t>3</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w:t>
            </w:r>
            <w:r>
              <w:rPr>
                <w:rFonts w:ascii="仿宋" w:hAnsi="仿宋" w:eastAsia="仿宋" w:cs="仿宋"/>
                <w:color w:val="000000" w:themeColor="text1"/>
                <w:kern w:val="0"/>
                <w:sz w:val="22"/>
                <w:szCs w:val="22"/>
                <w:lang w:bidi="ar"/>
                <w14:textFill>
                  <w14:solidFill>
                    <w14:schemeClr w14:val="tx1"/>
                  </w14:solidFill>
                </w14:textFill>
              </w:rPr>
              <w:t>203</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清算申请</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w:t>
            </w:r>
            <w:r>
              <w:rPr>
                <w:rFonts w:ascii="仿宋" w:hAnsi="仿宋" w:eastAsia="仿宋" w:cs="仿宋"/>
                <w:color w:val="000000" w:themeColor="text1"/>
                <w:kern w:val="0"/>
                <w:sz w:val="22"/>
                <w:szCs w:val="22"/>
                <w:lang w:bidi="ar"/>
                <w14:textFill>
                  <w14:solidFill>
                    <w14:schemeClr w14:val="tx1"/>
                  </w14:solidFill>
                </w14:textFill>
              </w:rPr>
              <w:t>4</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w:t>
            </w:r>
            <w:r>
              <w:rPr>
                <w:rFonts w:ascii="仿宋" w:hAnsi="仿宋" w:eastAsia="仿宋" w:cs="仿宋"/>
                <w:color w:val="000000" w:themeColor="text1"/>
                <w:kern w:val="0"/>
                <w:sz w:val="22"/>
                <w:szCs w:val="22"/>
                <w:lang w:bidi="ar"/>
                <w14:textFill>
                  <w14:solidFill>
                    <w14:schemeClr w14:val="tx1"/>
                  </w14:solidFill>
                </w14:textFill>
              </w:rPr>
              <w:t>204</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清算申请撤销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w:t>
            </w:r>
            <w:r>
              <w:rPr>
                <w:rFonts w:ascii="仿宋" w:hAnsi="仿宋" w:eastAsia="仿宋" w:cs="仿宋"/>
                <w:color w:val="000000" w:themeColor="text1"/>
                <w:kern w:val="0"/>
                <w:sz w:val="22"/>
                <w:szCs w:val="22"/>
                <w:lang w:bidi="ar"/>
                <w14:textFill>
                  <w14:solidFill>
                    <w14:schemeClr w14:val="tx1"/>
                  </w14:solidFill>
                </w14:textFill>
              </w:rPr>
              <w:t>5</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7</w:t>
            </w:r>
            <w:r>
              <w:rPr>
                <w:rFonts w:ascii="仿宋" w:hAnsi="仿宋" w:eastAsia="仿宋" w:cs="仿宋"/>
                <w:color w:val="000000" w:themeColor="text1"/>
                <w:kern w:val="0"/>
                <w:sz w:val="22"/>
                <w:szCs w:val="22"/>
                <w:lang w:bidi="ar"/>
                <w14:textFill>
                  <w14:solidFill>
                    <w14:schemeClr w14:val="tx1"/>
                  </w14:solidFill>
                </w14:textFill>
              </w:rPr>
              <w:t>011</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人员慢特病备案鉴定材料上传</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w:t>
            </w:r>
            <w:r>
              <w:rPr>
                <w:rFonts w:ascii="仿宋" w:hAnsi="仿宋" w:eastAsia="仿宋" w:cs="仿宋"/>
                <w:color w:val="000000" w:themeColor="text1"/>
                <w:kern w:val="0"/>
                <w:sz w:val="22"/>
                <w:szCs w:val="22"/>
                <w:lang w:bidi="ar"/>
                <w14:textFill>
                  <w14:solidFill>
                    <w14:schemeClr w14:val="tx1"/>
                  </w14:solidFill>
                </w14:textFill>
              </w:rPr>
              <w:t>6</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7</w:t>
            </w:r>
            <w:r>
              <w:rPr>
                <w:rFonts w:ascii="仿宋" w:hAnsi="仿宋" w:eastAsia="仿宋" w:cs="仿宋"/>
                <w:color w:val="000000" w:themeColor="text1"/>
                <w:kern w:val="0"/>
                <w:sz w:val="22"/>
                <w:szCs w:val="22"/>
                <w:lang w:bidi="ar"/>
                <w14:textFill>
                  <w14:solidFill>
                    <w14:schemeClr w14:val="tx1"/>
                  </w14:solidFill>
                </w14:textFill>
              </w:rPr>
              <w:t>012</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人员慢特病备案</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w:t>
            </w:r>
            <w:r>
              <w:rPr>
                <w:rFonts w:ascii="仿宋" w:hAnsi="仿宋" w:eastAsia="仿宋" w:cs="仿宋"/>
                <w:color w:val="000000" w:themeColor="text1"/>
                <w:kern w:val="0"/>
                <w:sz w:val="22"/>
                <w:szCs w:val="22"/>
                <w:lang w:bidi="ar"/>
                <w14:textFill>
                  <w14:solidFill>
                    <w14:schemeClr w14:val="tx1"/>
                  </w14:solidFill>
                </w14:textFill>
              </w:rPr>
              <w:t>7</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7</w:t>
            </w:r>
            <w:r>
              <w:rPr>
                <w:rFonts w:ascii="仿宋" w:hAnsi="仿宋" w:eastAsia="仿宋" w:cs="仿宋"/>
                <w:color w:val="000000" w:themeColor="text1"/>
                <w:kern w:val="0"/>
                <w:sz w:val="22"/>
                <w:szCs w:val="22"/>
                <w:lang w:bidi="ar"/>
                <w14:textFill>
                  <w14:solidFill>
                    <w14:schemeClr w14:val="tx1"/>
                  </w14:solidFill>
                </w14:textFill>
              </w:rPr>
              <w:t>013</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人员慢特病备案撤销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w:t>
            </w:r>
            <w:r>
              <w:rPr>
                <w:rFonts w:ascii="仿宋" w:hAnsi="仿宋" w:eastAsia="仿宋" w:cs="仿宋"/>
                <w:color w:val="000000" w:themeColor="text1"/>
                <w:kern w:val="0"/>
                <w:sz w:val="22"/>
                <w:szCs w:val="22"/>
                <w:lang w:bidi="ar"/>
                <w14:textFill>
                  <w14:solidFill>
                    <w14:schemeClr w14:val="tx1"/>
                  </w14:solidFill>
                </w14:textFill>
              </w:rPr>
              <w:t>8</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205</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自费病人门诊就医信息上传</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w:t>
            </w:r>
            <w:r>
              <w:rPr>
                <w:rFonts w:ascii="仿宋" w:hAnsi="仿宋" w:eastAsia="仿宋" w:cs="仿宋"/>
                <w:color w:val="000000" w:themeColor="text1"/>
                <w:kern w:val="0"/>
                <w:sz w:val="22"/>
                <w:szCs w:val="22"/>
                <w:lang w:bidi="ar"/>
                <w14:textFill>
                  <w14:solidFill>
                    <w14:schemeClr w14:val="tx1"/>
                  </w14:solidFill>
                </w14:textFill>
              </w:rPr>
              <w:t>9</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206</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自费病人门诊就医信息删除</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6</w:t>
            </w:r>
            <w:r>
              <w:rPr>
                <w:rFonts w:ascii="仿宋" w:hAnsi="仿宋" w:eastAsia="仿宋" w:cs="仿宋"/>
                <w:color w:val="000000" w:themeColor="text1"/>
                <w:kern w:val="0"/>
                <w:sz w:val="22"/>
                <w:szCs w:val="22"/>
                <w:lang w:bidi="ar"/>
                <w14:textFill>
                  <w14:solidFill>
                    <w14:schemeClr w14:val="tx1"/>
                  </w14:solidFill>
                </w14:textFill>
              </w:rPr>
              <w:t>0</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401</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住院病案首页信息</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6</w:t>
            </w:r>
            <w:r>
              <w:rPr>
                <w:rFonts w:ascii="仿宋" w:hAnsi="仿宋" w:eastAsia="仿宋" w:cs="仿宋"/>
                <w:color w:val="000000" w:themeColor="text1"/>
                <w:kern w:val="0"/>
                <w:sz w:val="22"/>
                <w:szCs w:val="22"/>
                <w:lang w:bidi="ar"/>
                <w14:textFill>
                  <w14:solidFill>
                    <w14:schemeClr w14:val="tx1"/>
                  </w14:solidFill>
                </w14:textFill>
              </w:rPr>
              <w:t>1</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402</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住院医嘱记录</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6</w:t>
            </w:r>
            <w:r>
              <w:rPr>
                <w:rFonts w:ascii="仿宋" w:hAnsi="仿宋" w:eastAsia="仿宋" w:cs="仿宋"/>
                <w:color w:val="000000" w:themeColor="text1"/>
                <w:kern w:val="0"/>
                <w:sz w:val="22"/>
                <w:szCs w:val="22"/>
                <w:lang w:bidi="ar"/>
                <w14:textFill>
                  <w14:solidFill>
                    <w14:schemeClr w14:val="tx1"/>
                  </w14:solidFill>
                </w14:textFill>
              </w:rPr>
              <w:t>2</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r>
              <w:rPr>
                <w:rFonts w:ascii="仿宋" w:hAnsi="仿宋" w:eastAsia="仿宋" w:cs="仿宋"/>
                <w:color w:val="000000" w:themeColor="text1"/>
                <w:kern w:val="0"/>
                <w:sz w:val="22"/>
                <w:szCs w:val="22"/>
                <w:lang w:bidi="ar"/>
                <w14:textFill>
                  <w14:solidFill>
                    <w14:schemeClr w14:val="tx1"/>
                  </w14:solidFill>
                </w14:textFill>
              </w:rPr>
              <w:t>701</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电子病历上传</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6</w:t>
            </w:r>
            <w:r>
              <w:rPr>
                <w:rFonts w:hint="eastAsia" w:ascii="仿宋" w:hAnsi="仿宋" w:eastAsia="仿宋" w:cs="仿宋"/>
                <w:color w:val="000000" w:themeColor="text1"/>
                <w:kern w:val="0"/>
                <w:sz w:val="22"/>
                <w:szCs w:val="22"/>
                <w:lang w:bidi="ar"/>
                <w14:textFill>
                  <w14:solidFill>
                    <w14:schemeClr w14:val="tx1"/>
                  </w14:solidFill>
                </w14:textFill>
              </w:rPr>
              <w:t>3</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4101A</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医疗保障基金结算清单信息上传</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6</w:t>
            </w:r>
            <w:r>
              <w:rPr>
                <w:rFonts w:hint="eastAsia" w:ascii="仿宋" w:hAnsi="仿宋" w:eastAsia="仿宋" w:cs="仿宋"/>
                <w:color w:val="000000" w:themeColor="text1"/>
                <w:kern w:val="0"/>
                <w:sz w:val="22"/>
                <w:szCs w:val="22"/>
                <w:lang w:bidi="ar"/>
                <w14:textFill>
                  <w14:solidFill>
                    <w14:schemeClr w14:val="tx1"/>
                  </w14:solidFill>
                </w14:textFill>
              </w:rPr>
              <w:t>4</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就诊信息查询</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6</w:t>
            </w:r>
            <w:r>
              <w:rPr>
                <w:rFonts w:hint="eastAsia" w:ascii="仿宋" w:hAnsi="仿宋" w:eastAsia="仿宋" w:cs="仿宋"/>
                <w:color w:val="000000" w:themeColor="text1"/>
                <w:kern w:val="0"/>
                <w:sz w:val="22"/>
                <w:szCs w:val="22"/>
                <w:lang w:bidi="ar"/>
                <w14:textFill>
                  <w14:solidFill>
                    <w14:schemeClr w14:val="tx1"/>
                  </w14:solidFill>
                </w14:textFill>
              </w:rPr>
              <w:t>5</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5202</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诊断信息查询</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6</w:t>
            </w:r>
            <w:r>
              <w:rPr>
                <w:rFonts w:hint="eastAsia" w:ascii="仿宋" w:hAnsi="仿宋" w:eastAsia="仿宋" w:cs="仿宋"/>
                <w:color w:val="000000" w:themeColor="text1"/>
                <w:kern w:val="0"/>
                <w:sz w:val="22"/>
                <w:szCs w:val="22"/>
                <w:lang w:bidi="ar"/>
                <w14:textFill>
                  <w14:solidFill>
                    <w14:schemeClr w14:val="tx1"/>
                  </w14:solidFill>
                </w14:textFill>
              </w:rPr>
              <w:t>6</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5203</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结算信息查询</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6</w:t>
            </w:r>
            <w:r>
              <w:rPr>
                <w:rFonts w:hint="eastAsia" w:ascii="仿宋" w:hAnsi="仿宋" w:eastAsia="仿宋" w:cs="仿宋"/>
                <w:color w:val="000000" w:themeColor="text1"/>
                <w:kern w:val="0"/>
                <w:sz w:val="22"/>
                <w:szCs w:val="22"/>
                <w:lang w:bidi="ar"/>
                <w14:textFill>
                  <w14:solidFill>
                    <w14:schemeClr w14:val="tx1"/>
                  </w14:solidFill>
                </w14:textFill>
              </w:rPr>
              <w:t>7</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5204</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费用明细查询</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6</w:t>
            </w:r>
            <w:r>
              <w:rPr>
                <w:rFonts w:hint="eastAsia" w:ascii="仿宋" w:hAnsi="仿宋" w:eastAsia="仿宋" w:cs="仿宋"/>
                <w:color w:val="000000" w:themeColor="text1"/>
                <w:kern w:val="0"/>
                <w:sz w:val="22"/>
                <w:szCs w:val="22"/>
                <w:lang w:bidi="ar"/>
                <w14:textFill>
                  <w14:solidFill>
                    <w14:schemeClr w14:val="tx1"/>
                  </w14:solidFill>
                </w14:textFill>
              </w:rPr>
              <w:t>8</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5205</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人员慢特病用药记录查询</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6</w:t>
            </w:r>
            <w:r>
              <w:rPr>
                <w:rFonts w:hint="eastAsia" w:ascii="仿宋" w:hAnsi="仿宋" w:eastAsia="仿宋" w:cs="仿宋"/>
                <w:color w:val="000000" w:themeColor="text1"/>
                <w:kern w:val="0"/>
                <w:sz w:val="22"/>
                <w:szCs w:val="22"/>
                <w:lang w:bidi="ar"/>
                <w14:textFill>
                  <w14:solidFill>
                    <w14:schemeClr w14:val="tx1"/>
                  </w14:solidFill>
                </w14:textFill>
              </w:rPr>
              <w:t>9</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5206</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人员累计信息查询</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7</w:t>
            </w:r>
            <w:r>
              <w:rPr>
                <w:rFonts w:hint="eastAsia" w:ascii="仿宋" w:hAnsi="仿宋" w:eastAsia="仿宋" w:cs="仿宋"/>
                <w:color w:val="000000" w:themeColor="text1"/>
                <w:kern w:val="0"/>
                <w:sz w:val="22"/>
                <w:szCs w:val="22"/>
                <w:lang w:bidi="ar"/>
                <w14:textFill>
                  <w14:solidFill>
                    <w14:schemeClr w14:val="tx1"/>
                  </w14:solidFill>
                </w14:textFill>
              </w:rPr>
              <w:t>0</w:t>
            </w:r>
          </w:p>
        </w:tc>
        <w:tc>
          <w:tcPr>
            <w:tcW w:w="1290"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5301</w:t>
            </w:r>
          </w:p>
        </w:tc>
        <w:tc>
          <w:tcPr>
            <w:tcW w:w="4128"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人员慢特病备案查询</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7</w:t>
            </w:r>
            <w:r>
              <w:rPr>
                <w:rFonts w:hint="eastAsia" w:ascii="仿宋" w:hAnsi="仿宋" w:eastAsia="仿宋" w:cs="仿宋"/>
                <w:color w:val="000000" w:themeColor="text1"/>
                <w:kern w:val="0"/>
                <w:sz w:val="22"/>
                <w:szCs w:val="22"/>
                <w:lang w:bidi="ar"/>
                <w14:textFill>
                  <w14:solidFill>
                    <w14:schemeClr w14:val="tx1"/>
                  </w14:solidFill>
                </w14:textFill>
              </w:rPr>
              <w:t>1</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5302</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人员定点信息查询</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7</w:t>
            </w:r>
            <w:r>
              <w:rPr>
                <w:rFonts w:hint="eastAsia" w:ascii="仿宋" w:hAnsi="仿宋" w:eastAsia="仿宋" w:cs="仿宋"/>
                <w:color w:val="000000" w:themeColor="text1"/>
                <w:kern w:val="0"/>
                <w:sz w:val="22"/>
                <w:szCs w:val="22"/>
                <w:lang w:bidi="ar"/>
                <w14:textFill>
                  <w14:solidFill>
                    <w14:schemeClr w14:val="tx1"/>
                  </w14:solidFill>
                </w14:textFill>
              </w:rPr>
              <w:t>2</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5303</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在院信息查询</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7</w:t>
            </w:r>
            <w:r>
              <w:rPr>
                <w:rFonts w:hint="eastAsia" w:ascii="仿宋" w:hAnsi="仿宋" w:eastAsia="仿宋" w:cs="仿宋"/>
                <w:color w:val="000000" w:themeColor="text1"/>
                <w:kern w:val="0"/>
                <w:sz w:val="22"/>
                <w:szCs w:val="22"/>
                <w:lang w:bidi="ar"/>
                <w14:textFill>
                  <w14:solidFill>
                    <w14:schemeClr w14:val="tx1"/>
                  </w14:solidFill>
                </w14:textFill>
              </w:rPr>
              <w:t>3</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5304</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转院信息查询</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7</w:t>
            </w:r>
            <w:r>
              <w:rPr>
                <w:rFonts w:hint="eastAsia" w:ascii="仿宋" w:hAnsi="仿宋" w:eastAsia="仿宋" w:cs="仿宋"/>
                <w:color w:val="000000" w:themeColor="text1"/>
                <w:kern w:val="0"/>
                <w:sz w:val="22"/>
                <w:szCs w:val="22"/>
                <w:lang w:bidi="ar"/>
                <w14:textFill>
                  <w14:solidFill>
                    <w14:schemeClr w14:val="tx1"/>
                  </w14:solidFill>
                </w14:textFill>
              </w:rPr>
              <w:t>4</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9001</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签到</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7</w:t>
            </w:r>
            <w:r>
              <w:rPr>
                <w:rFonts w:hint="eastAsia" w:ascii="仿宋" w:hAnsi="仿宋" w:eastAsia="仿宋" w:cs="仿宋"/>
                <w:color w:val="000000" w:themeColor="text1"/>
                <w:kern w:val="0"/>
                <w:sz w:val="22"/>
                <w:szCs w:val="22"/>
                <w:lang w:bidi="ar"/>
                <w14:textFill>
                  <w14:solidFill>
                    <w14:schemeClr w14:val="tx1"/>
                  </w14:solidFill>
                </w14:textFill>
              </w:rPr>
              <w:t>5</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9002</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签退</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7</w:t>
            </w:r>
            <w:r>
              <w:rPr>
                <w:rFonts w:hint="eastAsia" w:ascii="仿宋" w:hAnsi="仿宋" w:eastAsia="仿宋" w:cs="仿宋"/>
                <w:color w:val="000000" w:themeColor="text1"/>
                <w:kern w:val="0"/>
                <w:sz w:val="22"/>
                <w:szCs w:val="22"/>
                <w:lang w:bidi="ar"/>
                <w14:textFill>
                  <w14:solidFill>
                    <w14:schemeClr w14:val="tx1"/>
                  </w14:solidFill>
                </w14:textFill>
              </w:rPr>
              <w:t>6</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9101</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文件上传</w:t>
            </w:r>
          </w:p>
        </w:tc>
        <w:tc>
          <w:tcPr>
            <w:tcW w:w="2329"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ascii="仿宋" w:hAnsi="仿宋" w:eastAsia="仿宋" w:cs="仿宋"/>
                <w:color w:val="000000" w:themeColor="text1"/>
                <w:kern w:val="0"/>
                <w:sz w:val="22"/>
                <w:szCs w:val="22"/>
                <w:lang w:bidi="ar"/>
                <w14:textFill>
                  <w14:solidFill>
                    <w14:schemeClr w14:val="tx1"/>
                  </w14:solidFill>
                </w14:textFill>
              </w:rPr>
              <w:t>7</w:t>
            </w:r>
            <w:r>
              <w:rPr>
                <w:rFonts w:hint="eastAsia" w:ascii="仿宋" w:hAnsi="仿宋" w:eastAsia="仿宋" w:cs="仿宋"/>
                <w:color w:val="000000" w:themeColor="text1"/>
                <w:kern w:val="0"/>
                <w:sz w:val="22"/>
                <w:szCs w:val="22"/>
                <w:lang w:bidi="ar"/>
                <w14:textFill>
                  <w14:solidFill>
                    <w14:schemeClr w14:val="tx1"/>
                  </w14:solidFill>
                </w14:textFill>
              </w:rPr>
              <w:t>7</w:t>
            </w:r>
          </w:p>
        </w:tc>
        <w:tc>
          <w:tcPr>
            <w:tcW w:w="1290"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9102</w:t>
            </w:r>
          </w:p>
        </w:tc>
        <w:tc>
          <w:tcPr>
            <w:tcW w:w="4128"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文件下载</w:t>
            </w:r>
          </w:p>
        </w:tc>
        <w:tc>
          <w:tcPr>
            <w:tcW w:w="2329" w:type="dxa"/>
          </w:tcPr>
          <w:p>
            <w:pPr>
              <w:rPr>
                <w:rFonts w:ascii="仿宋" w:hAnsi="仿宋" w:eastAsia="仿宋" w:cs="仿宋"/>
                <w:color w:val="000000" w:themeColor="text1"/>
                <w:sz w:val="22"/>
                <w:szCs w:val="22"/>
                <w14:textFill>
                  <w14:solidFill>
                    <w14:schemeClr w14:val="tx1"/>
                  </w14:solidFill>
                </w14:textFill>
              </w:rPr>
            </w:pPr>
          </w:p>
        </w:tc>
      </w:tr>
    </w:tbl>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表格二：接口内容测试情况</w:t>
      </w:r>
      <w:r>
        <w:rPr>
          <w:rFonts w:hint="eastAsia"/>
          <w:b/>
          <w:bCs/>
          <w:color w:val="000000" w:themeColor="text1"/>
          <w:sz w:val="24"/>
          <w14:textFill>
            <w14:solidFill>
              <w14:schemeClr w14:val="tx1"/>
            </w14:solidFill>
          </w14:textFill>
        </w:rPr>
        <w:t>（零售药店使用）</w:t>
      </w:r>
    </w:p>
    <w:tbl>
      <w:tblPr>
        <w:tblStyle w:val="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93"/>
        <w:gridCol w:w="4111"/>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shd w:val="clear" w:color="auto" w:fill="D7D7D7" w:themeFill="background1" w:themeFillShade="D8"/>
          </w:tcPr>
          <w:p>
            <w:pPr>
              <w:widowControl/>
              <w:jc w:val="center"/>
              <w:textAlignment w:val="center"/>
              <w:rPr>
                <w:rFonts w:ascii="仿宋" w:hAnsi="仿宋" w:eastAsia="仿宋" w:cs="仿宋"/>
                <w:b/>
                <w:bCs/>
                <w:color w:val="000000" w:themeColor="text1"/>
                <w:kern w:val="0"/>
                <w:sz w:val="22"/>
                <w:szCs w:val="22"/>
                <w:lang w:bidi="ar"/>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序号</w:t>
            </w:r>
          </w:p>
        </w:tc>
        <w:tc>
          <w:tcPr>
            <w:tcW w:w="1293" w:type="dxa"/>
            <w:shd w:val="clear" w:color="auto" w:fill="D7D7D7" w:themeFill="background1" w:themeFillShade="D8"/>
          </w:tcPr>
          <w:p>
            <w:pPr>
              <w:widowControl/>
              <w:jc w:val="center"/>
              <w:textAlignment w:val="center"/>
              <w:rPr>
                <w:rFonts w:ascii="仿宋" w:hAnsi="仿宋" w:eastAsia="仿宋" w:cs="仿宋"/>
                <w:b/>
                <w:bCs/>
                <w:color w:val="000000" w:themeColor="text1"/>
                <w:kern w:val="0"/>
                <w:sz w:val="22"/>
                <w:szCs w:val="22"/>
                <w:lang w:bidi="ar"/>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接口编号</w:t>
            </w:r>
          </w:p>
        </w:tc>
        <w:tc>
          <w:tcPr>
            <w:tcW w:w="4111" w:type="dxa"/>
            <w:shd w:val="clear" w:color="auto" w:fill="D7D7D7" w:themeFill="background1" w:themeFillShade="D8"/>
          </w:tcPr>
          <w:p>
            <w:pPr>
              <w:widowControl/>
              <w:jc w:val="center"/>
              <w:textAlignment w:val="center"/>
              <w:rPr>
                <w:rFonts w:ascii="仿宋" w:hAnsi="仿宋" w:eastAsia="仿宋" w:cs="仿宋"/>
                <w:b/>
                <w:bCs/>
                <w:color w:val="000000" w:themeColor="text1"/>
                <w:kern w:val="0"/>
                <w:sz w:val="22"/>
                <w:szCs w:val="22"/>
                <w:lang w:bidi="ar"/>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接口名称</w:t>
            </w:r>
          </w:p>
        </w:tc>
        <w:tc>
          <w:tcPr>
            <w:tcW w:w="2334" w:type="dxa"/>
            <w:shd w:val="clear" w:color="auto" w:fill="D7D7D7" w:themeFill="background1" w:themeFillShade="D8"/>
          </w:tcPr>
          <w:p>
            <w:pPr>
              <w:widowControl/>
              <w:jc w:val="center"/>
              <w:textAlignment w:val="center"/>
              <w:rPr>
                <w:rFonts w:ascii="仿宋" w:hAnsi="仿宋" w:eastAsia="仿宋" w:cs="仿宋"/>
                <w:b/>
                <w:bCs/>
                <w:color w:val="000000" w:themeColor="text1"/>
                <w:kern w:val="0"/>
                <w:sz w:val="22"/>
                <w:szCs w:val="22"/>
                <w:lang w:bidi="ar"/>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机构是否通过测试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1101</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人员基本信息获取（医保电子凭证、社保卡）</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1201</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医药机构信息获取</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1301</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西药中成药目录下载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4</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1302</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中药饮片目录下载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1303</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医疗机构制剂目录下载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6</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1304</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民族药品目录下载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7</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1305</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医疗服务项目目录下载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8</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1306</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医用耗材目录下载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9</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1307</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疾病与诊断目录下载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10</w:t>
            </w:r>
          </w:p>
        </w:tc>
        <w:tc>
          <w:tcPr>
            <w:tcW w:w="1293"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1309</w:t>
            </w:r>
          </w:p>
        </w:tc>
        <w:tc>
          <w:tcPr>
            <w:tcW w:w="4111"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门诊慢特病种目录下载（非必须）</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11</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1312</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医保目录信息下载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12</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1314</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中医疾病目录下载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1315</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中医证候目录下载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14</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1316</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医疗目录与医保目录匹配信息下载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15</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1317</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医药机构目录匹配信息下载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16</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1318</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医保目录限价信息下载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17</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1319</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医保目录先自付比例信息下载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18</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1901</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字典表下载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19</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2001</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人员待遇享受检查</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20</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2101A</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药店预结算</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21</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2102A</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药店结算</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22</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2103</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药店结算撤销</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23</w:t>
            </w:r>
          </w:p>
        </w:tc>
        <w:tc>
          <w:tcPr>
            <w:tcW w:w="1293"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2601</w:t>
            </w:r>
          </w:p>
        </w:tc>
        <w:tc>
          <w:tcPr>
            <w:tcW w:w="4111"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冲正交易</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24</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3201</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医药机构费用结算对总账</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25</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3202</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医药机构费用结算对明细账</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26</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3301</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目录对照上传</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27</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3302</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目录对照撤销</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28</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5201</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就诊信息查询</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29</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5203</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结算信息查询</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30</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5204</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费用明细查询</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31</w:t>
            </w:r>
          </w:p>
        </w:tc>
        <w:tc>
          <w:tcPr>
            <w:tcW w:w="1293"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5205</w:t>
            </w:r>
          </w:p>
        </w:tc>
        <w:tc>
          <w:tcPr>
            <w:tcW w:w="4111"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人员慢特病用药记录查询（非必须）</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32</w:t>
            </w:r>
          </w:p>
        </w:tc>
        <w:tc>
          <w:tcPr>
            <w:tcW w:w="1293" w:type="dxa"/>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5206</w:t>
            </w:r>
          </w:p>
        </w:tc>
        <w:tc>
          <w:tcPr>
            <w:tcW w:w="4111" w:type="dxa"/>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人员累计信息查询</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33</w:t>
            </w:r>
          </w:p>
        </w:tc>
        <w:tc>
          <w:tcPr>
            <w:tcW w:w="1293"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5301</w:t>
            </w:r>
          </w:p>
        </w:tc>
        <w:tc>
          <w:tcPr>
            <w:tcW w:w="4111"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人员慢特病备案查询（非必须）</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34</w:t>
            </w:r>
          </w:p>
        </w:tc>
        <w:tc>
          <w:tcPr>
            <w:tcW w:w="1293"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9001</w:t>
            </w:r>
          </w:p>
        </w:tc>
        <w:tc>
          <w:tcPr>
            <w:tcW w:w="4111"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签到</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35</w:t>
            </w:r>
          </w:p>
        </w:tc>
        <w:tc>
          <w:tcPr>
            <w:tcW w:w="1293"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9002</w:t>
            </w:r>
          </w:p>
        </w:tc>
        <w:tc>
          <w:tcPr>
            <w:tcW w:w="4111"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签退</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36</w:t>
            </w:r>
          </w:p>
        </w:tc>
        <w:tc>
          <w:tcPr>
            <w:tcW w:w="1293"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9101</w:t>
            </w:r>
          </w:p>
        </w:tc>
        <w:tc>
          <w:tcPr>
            <w:tcW w:w="4111"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文件上传</w:t>
            </w:r>
          </w:p>
        </w:tc>
        <w:tc>
          <w:tcPr>
            <w:tcW w:w="2334" w:type="dxa"/>
          </w:tcPr>
          <w:p>
            <w:pPr>
              <w:rPr>
                <w:rFonts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37</w:t>
            </w:r>
          </w:p>
        </w:tc>
        <w:tc>
          <w:tcPr>
            <w:tcW w:w="1293" w:type="dxa"/>
            <w:vAlign w:val="center"/>
          </w:tcPr>
          <w:p>
            <w:pPr>
              <w:widowControl/>
              <w:jc w:val="center"/>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9102</w:t>
            </w:r>
          </w:p>
        </w:tc>
        <w:tc>
          <w:tcPr>
            <w:tcW w:w="4111" w:type="dxa"/>
            <w:vAlign w:val="center"/>
          </w:tcPr>
          <w:p>
            <w:pPr>
              <w:widowControl/>
              <w:jc w:val="left"/>
              <w:textAlignment w:val="center"/>
              <w:rPr>
                <w:rFonts w:ascii="仿宋" w:hAnsi="仿宋" w:eastAsia="仿宋" w:cs="仿宋"/>
                <w:color w:val="000000" w:themeColor="text1"/>
                <w:kern w:val="0"/>
                <w:sz w:val="22"/>
                <w:szCs w:val="22"/>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文件下载</w:t>
            </w:r>
          </w:p>
        </w:tc>
        <w:tc>
          <w:tcPr>
            <w:tcW w:w="2334" w:type="dxa"/>
          </w:tcPr>
          <w:p>
            <w:pPr>
              <w:rPr>
                <w:rFonts w:ascii="仿宋" w:hAnsi="仿宋" w:eastAsia="仿宋" w:cs="仿宋"/>
                <w:color w:val="000000" w:themeColor="text1"/>
                <w:sz w:val="22"/>
                <w:szCs w:val="22"/>
                <w14:textFill>
                  <w14:solidFill>
                    <w14:schemeClr w14:val="tx1"/>
                  </w14:solidFill>
                </w14:textFill>
              </w:rPr>
            </w:pPr>
          </w:p>
        </w:tc>
      </w:tr>
    </w:tbl>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表格三：业务场景测试情况</w:t>
      </w:r>
      <w:r>
        <w:rPr>
          <w:rFonts w:hint="eastAsia"/>
          <w:b/>
          <w:bCs/>
          <w:color w:val="000000" w:themeColor="text1"/>
          <w:sz w:val="24"/>
          <w14:textFill>
            <w14:solidFill>
              <w14:schemeClr w14:val="tx1"/>
            </w14:solidFill>
          </w14:textFill>
        </w:rPr>
        <w:t>（医保部门使用）</w:t>
      </w:r>
    </w:p>
    <w:tbl>
      <w:tblPr>
        <w:tblStyle w:val="6"/>
        <w:tblW w:w="8519" w:type="dxa"/>
        <w:tblInd w:w="0" w:type="dxa"/>
        <w:tblLayout w:type="fixed"/>
        <w:tblCellMar>
          <w:top w:w="0" w:type="dxa"/>
          <w:left w:w="108" w:type="dxa"/>
          <w:bottom w:w="0" w:type="dxa"/>
          <w:right w:w="108" w:type="dxa"/>
        </w:tblCellMar>
      </w:tblPr>
      <w:tblGrid>
        <w:gridCol w:w="1891"/>
        <w:gridCol w:w="2682"/>
        <w:gridCol w:w="3946"/>
      </w:tblGrid>
      <w:tr>
        <w:tblPrEx>
          <w:tblCellMar>
            <w:top w:w="0" w:type="dxa"/>
            <w:left w:w="108" w:type="dxa"/>
            <w:bottom w:w="0" w:type="dxa"/>
            <w:right w:w="108" w:type="dxa"/>
          </w:tblCellMar>
        </w:tblPrEx>
        <w:trPr>
          <w:trHeight w:val="540" w:hRule="atLeast"/>
        </w:trPr>
        <w:tc>
          <w:tcPr>
            <w:tcW w:w="1891"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仿宋" w:hAnsi="仿宋" w:eastAsia="仿宋" w:cs="仿宋"/>
                <w:b/>
                <w:bCs/>
                <w:color w:val="000000" w:themeColor="text1"/>
                <w:sz w:val="22"/>
                <w:szCs w:val="22"/>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业务场景</w:t>
            </w:r>
          </w:p>
        </w:tc>
        <w:tc>
          <w:tcPr>
            <w:tcW w:w="268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rPr>
                <w:rFonts w:ascii="仿宋" w:hAnsi="仿宋" w:eastAsia="仿宋" w:cs="仿宋"/>
                <w:b/>
                <w:bCs/>
                <w:color w:val="000000" w:themeColor="text1"/>
                <w:sz w:val="22"/>
                <w:szCs w:val="22"/>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业务步骤</w:t>
            </w:r>
          </w:p>
        </w:tc>
        <w:tc>
          <w:tcPr>
            <w:tcW w:w="394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仿宋" w:hAnsi="仿宋" w:eastAsia="仿宋" w:cs="仿宋"/>
                <w:b/>
                <w:bCs/>
                <w:color w:val="000000" w:themeColor="text1"/>
                <w:kern w:val="0"/>
                <w:sz w:val="22"/>
                <w:szCs w:val="22"/>
                <w:lang w:bidi="ar"/>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是否通过</w:t>
            </w:r>
          </w:p>
          <w:p>
            <w:pPr>
              <w:widowControl/>
              <w:jc w:val="center"/>
              <w:textAlignment w:val="center"/>
              <w:rPr>
                <w:rFonts w:ascii="仿宋" w:hAnsi="仿宋" w:eastAsia="仿宋" w:cs="仿宋"/>
                <w:b/>
                <w:bCs/>
                <w:color w:val="000000" w:themeColor="text1"/>
                <w:sz w:val="22"/>
                <w:szCs w:val="22"/>
                <w14:textFill>
                  <w14:solidFill>
                    <w14:schemeClr w14:val="tx1"/>
                  </w14:solidFill>
                </w14:textFill>
              </w:rPr>
            </w:pPr>
            <w:r>
              <w:rPr>
                <w:rFonts w:hint="eastAsia" w:ascii="仿宋" w:hAnsi="仿宋" w:eastAsia="仿宋" w:cs="仿宋"/>
                <w:b/>
                <w:bCs/>
                <w:color w:val="000000" w:themeColor="text1"/>
                <w:kern w:val="0"/>
                <w:sz w:val="22"/>
                <w:szCs w:val="22"/>
                <w:lang w:bidi="ar"/>
                <w14:textFill>
                  <w14:solidFill>
                    <w14:schemeClr w14:val="tx1"/>
                  </w14:solidFill>
                </w14:textFill>
              </w:rPr>
              <w:t>（包含表单打印，无此业务注明“无”）</w:t>
            </w: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门（急诊）场景</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门诊挂号</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门诊退号</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门（急）诊收费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门（急）诊退费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门诊规定病场景</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门诊规定病收费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门诊规定病退费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门诊慢病场景</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门诊慢病收费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门诊慢病退费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药店购药场景</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购药结算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购药结算退费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生育（计划生育手术）门诊场景</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生育门诊收费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生育门诊退费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普通住院场景</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住院登记</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住院费用上传</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出院预结算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出院结算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取消出院结算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取消入院登记（医保转自费）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计划生育与生育费用合并发生场景</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住院登记</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住院费用上传</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出院预结算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出院结算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取消出院结算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取消入院登记（医保转自费）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精神病住院场景</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住院登记</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住院费用上传</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出院预结算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出院结算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取消出院结算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取消入院登记（医保转自费）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生育（计划生育手术）住院场景</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住院登记</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住院费用上传</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出院预结算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出院结算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取消出院结算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取消入院登记（医保转自费）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家庭病床场景</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家庭病床登记</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家庭病床费用上传</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家庭病床结算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取消家庭病床结算</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取消家庭病床登记</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办理转院备案</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转院备案信息上传医保中心</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办理规定病备案</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规定病备案信息上传医保中心</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办理慢病备案</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慢病备案信息上传医保中心</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下载目录</w:t>
            </w:r>
          </w:p>
        </w:tc>
        <w:tc>
          <w:tcPr>
            <w:tcW w:w="2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下载药品目录</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下载诊疗项目目录</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下载耗材目录</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疾病诊断与手术操作目录</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目录匹配</w:t>
            </w: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药品、诊疗、耗材匹配上传</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2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药品、诊疗、耗材匹配查询</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 w:val="22"/>
                <w:szCs w:val="22"/>
                <w14:textFill>
                  <w14:solidFill>
                    <w14:schemeClr w14:val="tx1"/>
                  </w14:solidFill>
                </w14:textFill>
              </w:rPr>
            </w:pPr>
          </w:p>
        </w:tc>
      </w:tr>
    </w:tbl>
    <w:p>
      <w:pP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注：本验收单一式两份，医保局、定点医药机构各一份。</w:t>
      </w:r>
    </w:p>
    <w:p>
      <w:pPr>
        <w:rPr>
          <w:rFonts w:ascii="仿宋_GB2312" w:eastAsia="仿宋_GB2312"/>
          <w:color w:val="000000" w:themeColor="text1"/>
          <w14:textFill>
            <w14:solidFill>
              <w14:schemeClr w14:val="tx1"/>
            </w14:solidFill>
          </w14:textFill>
        </w:rPr>
      </w:pPr>
    </w:p>
    <w:p>
      <w:pPr>
        <w:rPr>
          <w:rFonts w:ascii="仿宋_GB2312" w:eastAsia="仿宋_GB2312"/>
          <w:b/>
          <w:bCs/>
          <w:color w:val="000000" w:themeColor="text1"/>
          <w14:textFill>
            <w14:solidFill>
              <w14:schemeClr w14:val="tx1"/>
            </w14:solidFill>
          </w14:textFill>
        </w:rPr>
      </w:pPr>
      <w:r>
        <w:rPr>
          <w:rFonts w:hint="eastAsia" w:ascii="仿宋_GB2312" w:eastAsia="仿宋_GB2312"/>
          <w:b/>
          <w:bCs/>
          <w:color w:val="000000" w:themeColor="text1"/>
          <w14:textFill>
            <w14:solidFill>
              <w14:schemeClr w14:val="tx1"/>
            </w14:solidFill>
          </w14:textFill>
        </w:rPr>
        <w:t xml:space="preserve">定点医药机构测试人：                       医保局验收负责人：                                          </w:t>
      </w:r>
    </w:p>
    <w:p>
      <w:pPr>
        <w:widowControl/>
        <w:jc w:val="left"/>
        <w:rPr>
          <w:b/>
          <w:bCs/>
          <w:color w:val="000000" w:themeColor="text1"/>
          <w14:textFill>
            <w14:solidFill>
              <w14:schemeClr w14:val="tx1"/>
            </w14:solidFill>
          </w14:textFill>
        </w:rPr>
      </w:pPr>
      <w:r>
        <w:rPr>
          <w:rFonts w:hint="eastAsia" w:ascii="仿宋_GB2312" w:eastAsia="仿宋_GB2312"/>
          <w:b/>
          <w:bCs/>
          <w:color w:val="000000" w:themeColor="text1"/>
          <w14:textFill>
            <w14:solidFill>
              <w14:schemeClr w14:val="tx1"/>
            </w14:solidFill>
          </w14:textFill>
        </w:rPr>
        <w:t xml:space="preserve">测试时间：                                 验收时间：             </w:t>
      </w:r>
      <w:r>
        <w:rPr>
          <w:rFonts w:hint="eastAsia"/>
          <w:b/>
          <w:bCs/>
          <w:color w:val="000000" w:themeColor="text1"/>
          <w14:textFill>
            <w14:solidFill>
              <w14:schemeClr w14:val="tx1"/>
            </w14:solidFill>
          </w14:textFill>
        </w:rPr>
        <w:t xml:space="preserve">             </w:t>
      </w:r>
    </w:p>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br w:type="page"/>
      </w:r>
    </w:p>
    <w:p>
      <w:pPr>
        <w:overflowPunct w:val="0"/>
        <w:adjustRightInd w:val="0"/>
        <w:snapToGrid w:val="0"/>
        <w:spacing w:line="590" w:lineRule="exact"/>
        <w:jc w:val="left"/>
        <w:rPr>
          <w:rFonts w:hAnsi="黑体" w:eastAsia="黑体"/>
          <w:color w:val="000000" w:themeColor="text1"/>
          <w:kern w:val="0"/>
          <w:sz w:val="32"/>
          <w:szCs w:val="32"/>
          <w14:textFill>
            <w14:solidFill>
              <w14:schemeClr w14:val="tx1"/>
            </w14:solidFill>
          </w14:textFill>
        </w:rPr>
      </w:pPr>
      <w:r>
        <w:rPr>
          <w:rFonts w:hAnsi="黑体" w:eastAsia="黑体"/>
          <w:color w:val="000000" w:themeColor="text1"/>
          <w:kern w:val="0"/>
          <w:sz w:val="32"/>
          <w:szCs w:val="32"/>
          <w14:textFill>
            <w14:solidFill>
              <w14:schemeClr w14:val="tx1"/>
            </w14:solidFill>
          </w14:textFill>
        </w:rPr>
        <w:t>附</w:t>
      </w:r>
      <w:r>
        <w:rPr>
          <w:rFonts w:hint="eastAsia" w:hAnsi="黑体" w:eastAsia="黑体"/>
          <w:color w:val="000000" w:themeColor="text1"/>
          <w:kern w:val="0"/>
          <w:sz w:val="32"/>
          <w:szCs w:val="32"/>
          <w14:textFill>
            <w14:solidFill>
              <w14:schemeClr w14:val="tx1"/>
            </w14:solidFill>
          </w14:textFill>
        </w:rPr>
        <w:t>表8</w:t>
      </w:r>
    </w:p>
    <w:p>
      <w:pPr>
        <w:jc w:val="center"/>
        <w:rPr>
          <w:rFonts w:ascii="黑体" w:hAnsi="黑体" w:eastAsia="黑体" w:cs="黑体"/>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征询函1</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XXXX（卫健部门）：</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因核查医疗机构申请医保新增定点工作的需要，现请贵单位函证截止XXXX年XX月XX日，XXX等单位及其</w:t>
      </w:r>
      <w:r>
        <w:rPr>
          <w:rFonts w:ascii="仿宋_GB2312" w:hAnsi="仿宋_GB2312" w:eastAsia="仿宋_GB2312" w:cs="仿宋_GB2312"/>
          <w:color w:val="000000" w:themeColor="text1"/>
          <w:kern w:val="0"/>
          <w:sz w:val="32"/>
          <w:szCs w:val="32"/>
          <w14:textFill>
            <w14:solidFill>
              <w14:schemeClr w14:val="tx1"/>
            </w14:solidFill>
          </w14:textFill>
        </w:rPr>
        <w:t>法</w:t>
      </w:r>
      <w:r>
        <w:rPr>
          <w:rFonts w:hint="eastAsia" w:ascii="仿宋_GB2312" w:hAnsi="仿宋_GB2312" w:eastAsia="仿宋_GB2312" w:cs="仿宋_GB2312"/>
          <w:color w:val="000000" w:themeColor="text1"/>
          <w:kern w:val="0"/>
          <w:sz w:val="32"/>
          <w:szCs w:val="32"/>
          <w14:textFill>
            <w14:solidFill>
              <w14:schemeClr w14:val="tx1"/>
            </w14:solidFill>
          </w14:textFill>
        </w:rPr>
        <w:t>定</w:t>
      </w:r>
      <w:r>
        <w:rPr>
          <w:rFonts w:ascii="仿宋_GB2312" w:hAnsi="仿宋_GB2312" w:eastAsia="仿宋_GB2312" w:cs="仿宋_GB2312"/>
          <w:color w:val="000000" w:themeColor="text1"/>
          <w:kern w:val="0"/>
          <w:sz w:val="32"/>
          <w:szCs w:val="32"/>
          <w14:textFill>
            <w14:solidFill>
              <w14:schemeClr w14:val="tx1"/>
            </w14:solidFill>
          </w14:textFill>
        </w:rPr>
        <w:t>代表人</w:t>
      </w:r>
      <w:r>
        <w:rPr>
          <w:rFonts w:hint="eastAsia" w:ascii="仿宋_GB2312" w:hAnsi="仿宋_GB2312" w:eastAsia="仿宋_GB2312" w:cs="仿宋_GB2312"/>
          <w:color w:val="000000" w:themeColor="text1"/>
          <w:sz w:val="32"/>
          <w:szCs w:val="32"/>
          <w14:textFill>
            <w14:solidFill>
              <w14:schemeClr w14:val="tx1"/>
            </w14:solidFill>
          </w14:textFill>
        </w:rPr>
        <w:t>、主要负责人、实际控制人（详见附表）是否存在以下情况：</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1.自因违法违规被行政处罚之日起未满1年的；</w:t>
      </w:r>
    </w:p>
    <w:p>
      <w:pPr>
        <w:spacing w:line="600" w:lineRule="exact"/>
        <w:ind w:firstLine="652" w:firstLineChars="200"/>
        <w:rPr>
          <w:rFonts w:ascii="仿宋_GB2312" w:hAnsi="仿宋_GB2312" w:eastAsia="仿宋_GB2312" w:cs="仿宋_GB2312"/>
          <w:color w:val="000000" w:themeColor="text1"/>
          <w:spacing w:val="3"/>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未依法完全履行行政处罚责任的；</w:t>
      </w:r>
    </w:p>
    <w:p>
      <w:pPr>
        <w:spacing w:line="600" w:lineRule="exact"/>
        <w:ind w:firstLine="65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14:textFill>
            <w14:solidFill>
              <w14:schemeClr w14:val="tx1"/>
            </w14:solidFill>
          </w14:textFill>
        </w:rPr>
        <w:t>3.近2年内有非法行医、非法医疗广告、诊室外包等不规范经营行为的；</w:t>
      </w:r>
    </w:p>
    <w:p>
      <w:pPr>
        <w:spacing w:line="600" w:lineRule="exact"/>
        <w:ind w:firstLine="652" w:firstLineChars="200"/>
        <w:rPr>
          <w:rFonts w:ascii="仿宋_GB2312" w:hAnsi="仿宋_GB2312" w:eastAsia="仿宋_GB2312" w:cs="仿宋_GB2312"/>
          <w:color w:val="000000" w:themeColor="text1"/>
          <w:spacing w:val="3"/>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14:textFill>
            <w14:solidFill>
              <w14:schemeClr w14:val="tx1"/>
            </w14:solidFill>
          </w14:textFill>
        </w:rPr>
        <w:t>4.同一法人主体（投资主体）的相关医疗机构因疑似违法违规行为正在接受调查处理等情况的。</w:t>
      </w:r>
    </w:p>
    <w:p>
      <w:pPr>
        <w:rPr>
          <w:rFonts w:ascii="仿宋_GB2312" w:hAnsi="仿宋" w:eastAsia="仿宋_GB2312" w:cs="仿宋"/>
          <w:color w:val="000000" w:themeColor="text1"/>
          <w:spacing w:val="3"/>
          <w:sz w:val="32"/>
          <w:szCs w:val="32"/>
          <w14:textFill>
            <w14:solidFill>
              <w14:schemeClr w14:val="tx1"/>
            </w14:solidFill>
          </w14:textFill>
        </w:rPr>
      </w:pPr>
    </w:p>
    <w:p>
      <w:pPr>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 w:eastAsia="仿宋_GB2312" w:cs="仿宋"/>
          <w:color w:val="000000" w:themeColor="text1"/>
          <w:spacing w:val="3"/>
          <w:sz w:val="32"/>
          <w:szCs w:val="32"/>
          <w14:textFill>
            <w14:solidFill>
              <w14:schemeClr w14:val="tx1"/>
            </w14:solidFill>
          </w14:textFill>
        </w:rPr>
        <w:t>附表</w:t>
      </w:r>
      <w:r>
        <w:rPr>
          <w:rFonts w:ascii="仿宋_GB2312" w:hAnsi="仿宋" w:eastAsia="仿宋_GB2312" w:cs="仿宋"/>
          <w:color w:val="000000" w:themeColor="text1"/>
          <w:spacing w:val="3"/>
          <w:sz w:val="32"/>
          <w:szCs w:val="32"/>
          <w14:textFill>
            <w14:solidFill>
              <w14:schemeClr w14:val="tx1"/>
            </w14:solidFill>
          </w14:textFill>
        </w:rPr>
        <w:t>：</w:t>
      </w:r>
      <w:r>
        <w:rPr>
          <w:rFonts w:hint="eastAsia" w:ascii="仿宋_GB2312" w:hAnsi="仿宋" w:eastAsia="仿宋_GB2312" w:cs="仿宋"/>
          <w:color w:val="000000" w:themeColor="text1"/>
          <w:spacing w:val="3"/>
          <w:sz w:val="32"/>
          <w:szCs w:val="32"/>
          <w14:textFill>
            <w14:solidFill>
              <w14:schemeClr w14:val="tx1"/>
            </w14:solidFill>
          </w14:textFill>
        </w:rPr>
        <w:t>（此表可作函询回单）</w:t>
      </w:r>
    </w:p>
    <w:tbl>
      <w:tblPr>
        <w:tblStyle w:val="7"/>
        <w:tblW w:w="10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2600"/>
        <w:gridCol w:w="2695"/>
        <w:gridCol w:w="2136"/>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序号</w:t>
            </w:r>
          </w:p>
        </w:tc>
        <w:tc>
          <w:tcPr>
            <w:tcW w:w="2600"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单位名称</w:t>
            </w:r>
          </w:p>
        </w:tc>
        <w:tc>
          <w:tcPr>
            <w:tcW w:w="2695"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法</w:t>
            </w:r>
            <w:r>
              <w:rPr>
                <w:rFonts w:hint="eastAsia" w:ascii="仿宋" w:hAnsi="仿宋" w:eastAsia="仿宋" w:cs="仿宋"/>
                <w:color w:val="000000" w:themeColor="text1"/>
                <w:sz w:val="28"/>
                <w:szCs w:val="28"/>
                <w14:textFill>
                  <w14:solidFill>
                    <w14:schemeClr w14:val="tx1"/>
                  </w14:solidFill>
                </w14:textFill>
              </w:rPr>
              <w:t>定</w:t>
            </w:r>
            <w:r>
              <w:rPr>
                <w:rFonts w:ascii="仿宋" w:hAnsi="仿宋" w:eastAsia="仿宋" w:cs="仿宋"/>
                <w:color w:val="000000" w:themeColor="text1"/>
                <w:sz w:val="28"/>
                <w:szCs w:val="28"/>
                <w14:textFill>
                  <w14:solidFill>
                    <w14:schemeClr w14:val="tx1"/>
                  </w14:solidFill>
                </w14:textFill>
              </w:rPr>
              <w:t>代表人</w:t>
            </w:r>
            <w:r>
              <w:rPr>
                <w:rFonts w:hint="eastAsia" w:ascii="仿宋" w:hAnsi="仿宋" w:eastAsia="仿宋" w:cs="仿宋"/>
                <w:color w:val="000000" w:themeColor="text1"/>
                <w:sz w:val="28"/>
                <w:szCs w:val="28"/>
                <w14:textFill>
                  <w14:solidFill>
                    <w14:schemeClr w14:val="tx1"/>
                  </w14:solidFill>
                </w14:textFill>
              </w:rPr>
              <w:t>（主要负责人、实际控制人）</w:t>
            </w:r>
          </w:p>
        </w:tc>
        <w:tc>
          <w:tcPr>
            <w:tcW w:w="2136"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身份证号码</w:t>
            </w:r>
          </w:p>
        </w:tc>
        <w:tc>
          <w:tcPr>
            <w:tcW w:w="1608"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存在情况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2600"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695"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36" w:type="dxa"/>
          </w:tcPr>
          <w:p>
            <w:pPr>
              <w:jc w:val="center"/>
              <w:rPr>
                <w:rFonts w:ascii="仿宋" w:hAnsi="仿宋" w:eastAsia="仿宋" w:cs="仿宋"/>
                <w:color w:val="000000" w:themeColor="text1"/>
                <w:sz w:val="32"/>
                <w:szCs w:val="32"/>
                <w14:textFill>
                  <w14:solidFill>
                    <w14:schemeClr w14:val="tx1"/>
                  </w14:solidFill>
                </w14:textFill>
              </w:rPr>
            </w:pPr>
          </w:p>
        </w:tc>
        <w:tc>
          <w:tcPr>
            <w:tcW w:w="1608" w:type="dxa"/>
            <w:vAlign w:val="center"/>
          </w:tcPr>
          <w:p>
            <w:pPr>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2600"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695"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36" w:type="dxa"/>
          </w:tcPr>
          <w:p>
            <w:pPr>
              <w:jc w:val="center"/>
              <w:rPr>
                <w:rFonts w:ascii="仿宋" w:hAnsi="仿宋" w:eastAsia="仿宋" w:cs="仿宋"/>
                <w:color w:val="000000" w:themeColor="text1"/>
                <w:sz w:val="32"/>
                <w:szCs w:val="32"/>
                <w14:textFill>
                  <w14:solidFill>
                    <w14:schemeClr w14:val="tx1"/>
                  </w14:solidFill>
                </w14:textFill>
              </w:rPr>
            </w:pPr>
          </w:p>
        </w:tc>
        <w:tc>
          <w:tcPr>
            <w:tcW w:w="1608" w:type="dxa"/>
            <w:vAlign w:val="center"/>
          </w:tcPr>
          <w:p>
            <w:pPr>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p>
        </w:tc>
        <w:tc>
          <w:tcPr>
            <w:tcW w:w="2600"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695"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36" w:type="dxa"/>
          </w:tcPr>
          <w:p>
            <w:pPr>
              <w:jc w:val="center"/>
              <w:rPr>
                <w:rFonts w:ascii="仿宋" w:hAnsi="仿宋" w:eastAsia="仿宋" w:cs="仿宋"/>
                <w:color w:val="000000" w:themeColor="text1"/>
                <w:sz w:val="32"/>
                <w:szCs w:val="32"/>
                <w14:textFill>
                  <w14:solidFill>
                    <w14:schemeClr w14:val="tx1"/>
                  </w14:solidFill>
                </w14:textFill>
              </w:rPr>
            </w:pPr>
          </w:p>
        </w:tc>
        <w:tc>
          <w:tcPr>
            <w:tcW w:w="1608" w:type="dxa"/>
            <w:vAlign w:val="center"/>
          </w:tcPr>
          <w:p>
            <w:pPr>
              <w:jc w:val="center"/>
              <w:rPr>
                <w:rFonts w:ascii="仿宋" w:hAnsi="仿宋" w:eastAsia="仿宋" w:cs="仿宋"/>
                <w:color w:val="000000" w:themeColor="text1"/>
                <w:sz w:val="32"/>
                <w:szCs w:val="32"/>
                <w14:textFill>
                  <w14:solidFill>
                    <w14:schemeClr w14:val="tx1"/>
                  </w14:solidFill>
                </w14:textFill>
              </w:rPr>
            </w:pPr>
          </w:p>
        </w:tc>
      </w:tr>
    </w:tbl>
    <w:p>
      <w:pP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br w:type="page"/>
      </w:r>
    </w:p>
    <w:p>
      <w:pPr>
        <w:jc w:val="center"/>
        <w:rPr>
          <w:rFonts w:ascii="黑体" w:hAnsi="黑体" w:eastAsia="黑体" w:cs="黑体"/>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征询函2</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XXXX</w:t>
      </w:r>
      <w:r>
        <w:rPr>
          <w:rFonts w:hint="eastAsia" w:ascii="仿宋_GB2312" w:hAnsi="仿宋_GB2312" w:eastAsia="仿宋_GB2312" w:cs="仿宋_GB2312"/>
          <w:color w:val="000000" w:themeColor="text1"/>
          <w:sz w:val="32"/>
          <w:szCs w:val="32"/>
          <w14:textFill>
            <w14:solidFill>
              <w14:schemeClr w14:val="tx1"/>
            </w14:solidFill>
          </w14:textFill>
        </w:rPr>
        <w:t>（市场监管部门）：</w:t>
      </w:r>
    </w:p>
    <w:p>
      <w:pPr>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因核查医药机构申请医保新增定点工作的需要，现请贵单位函证截止</w:t>
      </w:r>
      <w:r>
        <w:rPr>
          <w:rFonts w:hint="eastAsia" w:ascii="仿宋" w:hAnsi="仿宋" w:eastAsia="仿宋" w:cs="仿宋"/>
          <w:color w:val="000000" w:themeColor="text1"/>
          <w:sz w:val="32"/>
          <w:szCs w:val="32"/>
          <w14:textFill>
            <w14:solidFill>
              <w14:schemeClr w14:val="tx1"/>
            </w14:solidFill>
          </w14:textFill>
        </w:rPr>
        <w:t>XXXX</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14:textFill>
            <w14:solidFill>
              <w14:schemeClr w14:val="tx1"/>
            </w14:solidFill>
          </w14:textFill>
        </w:rPr>
        <w:t>XX</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14:textFill>
            <w14:solidFill>
              <w14:schemeClr w14:val="tx1"/>
            </w14:solidFill>
          </w14:textFill>
        </w:rPr>
        <w:t>XX</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14:textFill>
            <w14:solidFill>
              <w14:schemeClr w14:val="tx1"/>
            </w14:solidFill>
          </w14:textFill>
        </w:rPr>
        <w:t>XXX</w:t>
      </w:r>
      <w:r>
        <w:rPr>
          <w:rFonts w:hint="eastAsia" w:ascii="仿宋_GB2312" w:hAnsi="仿宋_GB2312" w:eastAsia="仿宋_GB2312" w:cs="仿宋_GB2312"/>
          <w:color w:val="000000" w:themeColor="text1"/>
          <w:sz w:val="32"/>
          <w:szCs w:val="32"/>
          <w14:textFill>
            <w14:solidFill>
              <w14:schemeClr w14:val="tx1"/>
            </w14:solidFill>
          </w14:textFill>
        </w:rPr>
        <w:t>等单位及其法定代表人、主要负责人、实际控制人（详见附表）是否存在以下情况：</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1.自因违法违规被行政处罚之日起未满1年的或发生过重大药品质量事故的；</w:t>
      </w:r>
    </w:p>
    <w:p>
      <w:pPr>
        <w:ind w:firstLine="652" w:firstLineChars="200"/>
        <w:rPr>
          <w:rFonts w:ascii="仿宋_GB2312" w:hAnsi="仿宋_GB2312" w:eastAsia="仿宋_GB2312" w:cs="仿宋_GB2312"/>
          <w:color w:val="000000" w:themeColor="text1"/>
          <w:spacing w:val="3"/>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未依法完全履行行政处罚责任的；</w:t>
      </w:r>
    </w:p>
    <w:p>
      <w:pPr>
        <w:ind w:firstLine="652" w:firstLineChars="200"/>
        <w:rPr>
          <w:rFonts w:ascii="仿宋_GB2312" w:hAnsi="仿宋_GB2312" w:eastAsia="仿宋_GB2312" w:cs="仿宋_GB2312"/>
          <w:color w:val="000000" w:themeColor="text1"/>
          <w:spacing w:val="3"/>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14:textFill>
            <w14:solidFill>
              <w14:schemeClr w14:val="tx1"/>
            </w14:solidFill>
          </w14:textFill>
        </w:rPr>
        <w:t>3.同一法人主体（投资主体）的相关医药机构因疑似违法违规行为正在接受调查处理等情况的。</w:t>
      </w:r>
    </w:p>
    <w:p>
      <w:pPr>
        <w:rPr>
          <w:rFonts w:ascii="仿宋_GB2312" w:hAnsi="仿宋" w:eastAsia="仿宋_GB2312" w:cs="仿宋"/>
          <w:color w:val="000000" w:themeColor="text1"/>
          <w:spacing w:val="3"/>
          <w:sz w:val="32"/>
          <w:szCs w:val="32"/>
          <w14:textFill>
            <w14:solidFill>
              <w14:schemeClr w14:val="tx1"/>
            </w14:solidFill>
          </w14:textFill>
        </w:rPr>
      </w:pPr>
    </w:p>
    <w:p>
      <w:pPr>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 w:eastAsia="仿宋_GB2312" w:cs="仿宋"/>
          <w:color w:val="000000" w:themeColor="text1"/>
          <w:spacing w:val="3"/>
          <w:sz w:val="32"/>
          <w:szCs w:val="32"/>
          <w14:textFill>
            <w14:solidFill>
              <w14:schemeClr w14:val="tx1"/>
            </w14:solidFill>
          </w14:textFill>
        </w:rPr>
        <w:t>附表</w:t>
      </w:r>
      <w:r>
        <w:rPr>
          <w:rFonts w:ascii="仿宋_GB2312" w:hAnsi="仿宋" w:eastAsia="仿宋_GB2312" w:cs="仿宋"/>
          <w:color w:val="000000" w:themeColor="text1"/>
          <w:spacing w:val="3"/>
          <w:sz w:val="32"/>
          <w:szCs w:val="32"/>
          <w14:textFill>
            <w14:solidFill>
              <w14:schemeClr w14:val="tx1"/>
            </w14:solidFill>
          </w14:textFill>
        </w:rPr>
        <w:t>：</w:t>
      </w:r>
      <w:r>
        <w:rPr>
          <w:rFonts w:hint="eastAsia" w:ascii="仿宋_GB2312" w:hAnsi="仿宋" w:eastAsia="仿宋_GB2312" w:cs="仿宋"/>
          <w:color w:val="000000" w:themeColor="text1"/>
          <w:spacing w:val="3"/>
          <w:sz w:val="32"/>
          <w:szCs w:val="32"/>
          <w14:textFill>
            <w14:solidFill>
              <w14:schemeClr w14:val="tx1"/>
            </w14:solidFill>
          </w14:textFill>
        </w:rPr>
        <w:t>（此表可作函询回单）</w:t>
      </w:r>
    </w:p>
    <w:tbl>
      <w:tblPr>
        <w:tblStyle w:val="7"/>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103"/>
        <w:gridCol w:w="2417"/>
        <w:gridCol w:w="216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序号</w:t>
            </w:r>
          </w:p>
        </w:tc>
        <w:tc>
          <w:tcPr>
            <w:tcW w:w="3103"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单位名称</w:t>
            </w:r>
          </w:p>
        </w:tc>
        <w:tc>
          <w:tcPr>
            <w:tcW w:w="2417"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法定代表人（主要负责人、实际控制人）</w:t>
            </w:r>
          </w:p>
        </w:tc>
        <w:tc>
          <w:tcPr>
            <w:tcW w:w="2164"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身份证</w:t>
            </w:r>
            <w:r>
              <w:rPr>
                <w:rFonts w:ascii="仿宋" w:hAnsi="仿宋" w:eastAsia="仿宋" w:cs="仿宋"/>
                <w:color w:val="000000" w:themeColor="text1"/>
                <w:sz w:val="28"/>
                <w:szCs w:val="28"/>
                <w14:textFill>
                  <w14:solidFill>
                    <w14:schemeClr w14:val="tx1"/>
                  </w14:solidFill>
                </w14:textFill>
              </w:rPr>
              <w:t>号</w:t>
            </w:r>
            <w:r>
              <w:rPr>
                <w:rFonts w:hint="eastAsia" w:ascii="仿宋" w:hAnsi="仿宋" w:eastAsia="仿宋" w:cs="仿宋"/>
                <w:color w:val="000000" w:themeColor="text1"/>
                <w:sz w:val="28"/>
                <w:szCs w:val="28"/>
                <w14:textFill>
                  <w14:solidFill>
                    <w14:schemeClr w14:val="tx1"/>
                  </w14:solidFill>
                </w14:textFill>
              </w:rPr>
              <w:t>码</w:t>
            </w:r>
          </w:p>
        </w:tc>
        <w:tc>
          <w:tcPr>
            <w:tcW w:w="1721"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存在情况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3103"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417"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64" w:type="dxa"/>
          </w:tcPr>
          <w:p>
            <w:pPr>
              <w:jc w:val="center"/>
              <w:rPr>
                <w:rFonts w:ascii="仿宋" w:hAnsi="仿宋" w:eastAsia="仿宋" w:cs="仿宋"/>
                <w:color w:val="000000" w:themeColor="text1"/>
                <w:sz w:val="32"/>
                <w:szCs w:val="32"/>
                <w14:textFill>
                  <w14:solidFill>
                    <w14:schemeClr w14:val="tx1"/>
                  </w14:solidFill>
                </w14:textFill>
              </w:rPr>
            </w:pPr>
          </w:p>
        </w:tc>
        <w:tc>
          <w:tcPr>
            <w:tcW w:w="1721" w:type="dxa"/>
            <w:vAlign w:val="center"/>
          </w:tcPr>
          <w:p>
            <w:pPr>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3103"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417"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64" w:type="dxa"/>
          </w:tcPr>
          <w:p>
            <w:pPr>
              <w:jc w:val="center"/>
              <w:rPr>
                <w:rFonts w:ascii="仿宋" w:hAnsi="仿宋" w:eastAsia="仿宋" w:cs="仿宋"/>
                <w:color w:val="000000" w:themeColor="text1"/>
                <w:sz w:val="32"/>
                <w:szCs w:val="32"/>
                <w14:textFill>
                  <w14:solidFill>
                    <w14:schemeClr w14:val="tx1"/>
                  </w14:solidFill>
                </w14:textFill>
              </w:rPr>
            </w:pPr>
          </w:p>
        </w:tc>
        <w:tc>
          <w:tcPr>
            <w:tcW w:w="1721" w:type="dxa"/>
            <w:vAlign w:val="center"/>
          </w:tcPr>
          <w:p>
            <w:pPr>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p>
        </w:tc>
        <w:tc>
          <w:tcPr>
            <w:tcW w:w="3103"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417"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64" w:type="dxa"/>
          </w:tcPr>
          <w:p>
            <w:pPr>
              <w:jc w:val="center"/>
              <w:rPr>
                <w:rFonts w:ascii="仿宋" w:hAnsi="仿宋" w:eastAsia="仿宋" w:cs="仿宋"/>
                <w:color w:val="000000" w:themeColor="text1"/>
                <w:sz w:val="32"/>
                <w:szCs w:val="32"/>
                <w14:textFill>
                  <w14:solidFill>
                    <w14:schemeClr w14:val="tx1"/>
                  </w14:solidFill>
                </w14:textFill>
              </w:rPr>
            </w:pPr>
          </w:p>
        </w:tc>
        <w:tc>
          <w:tcPr>
            <w:tcW w:w="1721" w:type="dxa"/>
            <w:vAlign w:val="center"/>
          </w:tcPr>
          <w:p>
            <w:pPr>
              <w:jc w:val="center"/>
              <w:rPr>
                <w:rFonts w:ascii="仿宋" w:hAnsi="仿宋" w:eastAsia="仿宋" w:cs="仿宋"/>
                <w:color w:val="000000" w:themeColor="text1"/>
                <w:sz w:val="32"/>
                <w:szCs w:val="32"/>
                <w14:textFill>
                  <w14:solidFill>
                    <w14:schemeClr w14:val="tx1"/>
                  </w14:solidFill>
                </w14:textFill>
              </w:rPr>
            </w:pPr>
          </w:p>
        </w:tc>
      </w:tr>
    </w:tbl>
    <w:p>
      <w:pP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br w:type="page"/>
      </w:r>
    </w:p>
    <w:p>
      <w:pPr>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征询函3</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XXXX（公安部门）：</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因核查医药机构申请医保新增定点工作的需要，现请贵单位函证截止XXXX年X</w:t>
      </w:r>
      <w:r>
        <w:rPr>
          <w:rFonts w:ascii="仿宋" w:hAnsi="仿宋" w:eastAsia="仿宋" w:cs="仿宋"/>
          <w:color w:val="000000" w:themeColor="text1"/>
          <w:sz w:val="32"/>
          <w:szCs w:val="32"/>
          <w14:textFill>
            <w14:solidFill>
              <w14:schemeClr w14:val="tx1"/>
            </w14:solidFill>
          </w14:textFill>
        </w:rPr>
        <w:t>X</w:t>
      </w:r>
      <w:r>
        <w:rPr>
          <w:rFonts w:hint="eastAsia" w:ascii="仿宋" w:hAnsi="仿宋" w:eastAsia="仿宋" w:cs="仿宋"/>
          <w:color w:val="000000" w:themeColor="text1"/>
          <w:sz w:val="32"/>
          <w:szCs w:val="32"/>
          <w14:textFill>
            <w14:solidFill>
              <w14:schemeClr w14:val="tx1"/>
            </w14:solidFill>
          </w14:textFill>
        </w:rPr>
        <w:t>月X</w:t>
      </w:r>
      <w:r>
        <w:rPr>
          <w:rFonts w:ascii="仿宋" w:hAnsi="仿宋" w:eastAsia="仿宋" w:cs="仿宋"/>
          <w:color w:val="000000" w:themeColor="text1"/>
          <w:sz w:val="32"/>
          <w:szCs w:val="32"/>
          <w14:textFill>
            <w14:solidFill>
              <w14:schemeClr w14:val="tx1"/>
            </w14:solidFill>
          </w14:textFill>
        </w:rPr>
        <w:t>X</w:t>
      </w:r>
      <w:r>
        <w:rPr>
          <w:rFonts w:hint="eastAsia" w:ascii="仿宋" w:hAnsi="仿宋" w:eastAsia="仿宋" w:cs="仿宋"/>
          <w:color w:val="000000" w:themeColor="text1"/>
          <w:sz w:val="32"/>
          <w:szCs w:val="32"/>
          <w14:textFill>
            <w14:solidFill>
              <w14:schemeClr w14:val="tx1"/>
            </w14:solidFill>
          </w14:textFill>
        </w:rPr>
        <w:t>日，XXX等单位及其法定代表人、主要负责人、实际控制人（详见附表）是否存在以下情况：</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1.未依法完全履行行政处罚责任的；</w:t>
      </w:r>
    </w:p>
    <w:p>
      <w:pPr>
        <w:ind w:firstLine="652" w:firstLineChars="200"/>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 w:eastAsia="仿宋_GB2312" w:cs="仿宋"/>
          <w:color w:val="000000" w:themeColor="text1"/>
          <w:spacing w:val="3"/>
          <w:sz w:val="32"/>
          <w:szCs w:val="32"/>
          <w14:textFill>
            <w14:solidFill>
              <w14:schemeClr w14:val="tx1"/>
            </w14:solidFill>
          </w14:textFill>
        </w:rPr>
        <w:t>2.同一法人主体（投资主体）的相关医药机构因疑似违法违规行为正在接受调查处理等情况的。</w:t>
      </w:r>
    </w:p>
    <w:p>
      <w:pPr>
        <w:ind w:firstLine="652" w:firstLineChars="200"/>
        <w:rPr>
          <w:rFonts w:ascii="仿宋_GB2312" w:hAnsi="仿宋" w:eastAsia="仿宋_GB2312" w:cs="仿宋"/>
          <w:color w:val="000000" w:themeColor="text1"/>
          <w:spacing w:val="3"/>
          <w:sz w:val="32"/>
          <w:szCs w:val="32"/>
          <w14:textFill>
            <w14:solidFill>
              <w14:schemeClr w14:val="tx1"/>
            </w14:solidFill>
          </w14:textFill>
        </w:rPr>
      </w:pPr>
    </w:p>
    <w:p>
      <w:pPr>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 w:eastAsia="仿宋_GB2312" w:cs="仿宋"/>
          <w:color w:val="000000" w:themeColor="text1"/>
          <w:spacing w:val="3"/>
          <w:sz w:val="32"/>
          <w:szCs w:val="32"/>
          <w14:textFill>
            <w14:solidFill>
              <w14:schemeClr w14:val="tx1"/>
            </w14:solidFill>
          </w14:textFill>
        </w:rPr>
        <w:t>附表</w:t>
      </w:r>
      <w:r>
        <w:rPr>
          <w:rFonts w:ascii="仿宋_GB2312" w:hAnsi="仿宋" w:eastAsia="仿宋_GB2312" w:cs="仿宋"/>
          <w:color w:val="000000" w:themeColor="text1"/>
          <w:spacing w:val="3"/>
          <w:sz w:val="32"/>
          <w:szCs w:val="32"/>
          <w14:textFill>
            <w14:solidFill>
              <w14:schemeClr w14:val="tx1"/>
            </w14:solidFill>
          </w14:textFill>
        </w:rPr>
        <w:t>：</w:t>
      </w:r>
      <w:r>
        <w:rPr>
          <w:rFonts w:hint="eastAsia" w:ascii="仿宋_GB2312" w:hAnsi="仿宋" w:eastAsia="仿宋_GB2312" w:cs="仿宋"/>
          <w:color w:val="000000" w:themeColor="text1"/>
          <w:spacing w:val="3"/>
          <w:sz w:val="32"/>
          <w:szCs w:val="32"/>
          <w14:textFill>
            <w14:solidFill>
              <w14:schemeClr w14:val="tx1"/>
            </w14:solidFill>
          </w14:textFill>
        </w:rPr>
        <w:t>（此表可作函询回单）</w:t>
      </w:r>
    </w:p>
    <w:tbl>
      <w:tblPr>
        <w:tblStyle w:val="7"/>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975"/>
        <w:gridCol w:w="2516"/>
        <w:gridCol w:w="2136"/>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序号</w:t>
            </w:r>
          </w:p>
        </w:tc>
        <w:tc>
          <w:tcPr>
            <w:tcW w:w="2975"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单位名称</w:t>
            </w:r>
          </w:p>
        </w:tc>
        <w:tc>
          <w:tcPr>
            <w:tcW w:w="2516"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法定代表人（主要负责人、实际控制人）</w:t>
            </w:r>
          </w:p>
        </w:tc>
        <w:tc>
          <w:tcPr>
            <w:tcW w:w="2136"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身份证</w:t>
            </w:r>
            <w:r>
              <w:rPr>
                <w:rFonts w:ascii="仿宋" w:hAnsi="仿宋" w:eastAsia="仿宋" w:cs="仿宋"/>
                <w:color w:val="000000" w:themeColor="text1"/>
                <w:sz w:val="28"/>
                <w:szCs w:val="28"/>
                <w14:textFill>
                  <w14:solidFill>
                    <w14:schemeClr w14:val="tx1"/>
                  </w14:solidFill>
                </w14:textFill>
              </w:rPr>
              <w:t>号码</w:t>
            </w:r>
          </w:p>
        </w:tc>
        <w:tc>
          <w:tcPr>
            <w:tcW w:w="1591"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存在情况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2975"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516"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36" w:type="dxa"/>
          </w:tcPr>
          <w:p>
            <w:pPr>
              <w:jc w:val="center"/>
              <w:rPr>
                <w:rFonts w:ascii="仿宋" w:hAnsi="仿宋" w:eastAsia="仿宋" w:cs="仿宋"/>
                <w:color w:val="000000" w:themeColor="text1"/>
                <w:sz w:val="32"/>
                <w:szCs w:val="32"/>
                <w14:textFill>
                  <w14:solidFill>
                    <w14:schemeClr w14:val="tx1"/>
                  </w14:solidFill>
                </w14:textFill>
              </w:rPr>
            </w:pPr>
          </w:p>
        </w:tc>
        <w:tc>
          <w:tcPr>
            <w:tcW w:w="1591" w:type="dxa"/>
            <w:vAlign w:val="center"/>
          </w:tcPr>
          <w:p>
            <w:pPr>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2975"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516"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36" w:type="dxa"/>
          </w:tcPr>
          <w:p>
            <w:pPr>
              <w:jc w:val="center"/>
              <w:rPr>
                <w:rFonts w:ascii="仿宋" w:hAnsi="仿宋" w:eastAsia="仿宋" w:cs="仿宋"/>
                <w:color w:val="000000" w:themeColor="text1"/>
                <w:sz w:val="32"/>
                <w:szCs w:val="32"/>
                <w14:textFill>
                  <w14:solidFill>
                    <w14:schemeClr w14:val="tx1"/>
                  </w14:solidFill>
                </w14:textFill>
              </w:rPr>
            </w:pPr>
          </w:p>
        </w:tc>
        <w:tc>
          <w:tcPr>
            <w:tcW w:w="1591" w:type="dxa"/>
            <w:vAlign w:val="center"/>
          </w:tcPr>
          <w:p>
            <w:pPr>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p>
        </w:tc>
        <w:tc>
          <w:tcPr>
            <w:tcW w:w="2975"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516"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36" w:type="dxa"/>
          </w:tcPr>
          <w:p>
            <w:pPr>
              <w:jc w:val="center"/>
              <w:rPr>
                <w:rFonts w:ascii="仿宋" w:hAnsi="仿宋" w:eastAsia="仿宋" w:cs="仿宋"/>
                <w:color w:val="000000" w:themeColor="text1"/>
                <w:sz w:val="32"/>
                <w:szCs w:val="32"/>
                <w14:textFill>
                  <w14:solidFill>
                    <w14:schemeClr w14:val="tx1"/>
                  </w14:solidFill>
                </w14:textFill>
              </w:rPr>
            </w:pPr>
          </w:p>
        </w:tc>
        <w:tc>
          <w:tcPr>
            <w:tcW w:w="1591" w:type="dxa"/>
            <w:vAlign w:val="center"/>
          </w:tcPr>
          <w:p>
            <w:pPr>
              <w:jc w:val="center"/>
              <w:rPr>
                <w:rFonts w:ascii="仿宋" w:hAnsi="仿宋" w:eastAsia="仿宋" w:cs="仿宋"/>
                <w:color w:val="000000" w:themeColor="text1"/>
                <w:sz w:val="32"/>
                <w:szCs w:val="32"/>
                <w14:textFill>
                  <w14:solidFill>
                    <w14:schemeClr w14:val="tx1"/>
                  </w14:solidFill>
                </w14:textFill>
              </w:rPr>
            </w:pPr>
          </w:p>
        </w:tc>
      </w:tr>
    </w:tbl>
    <w:p>
      <w:pPr>
        <w:rPr>
          <w:rFonts w:ascii="仿宋" w:hAnsi="仿宋" w:eastAsia="仿宋" w:cs="仿宋"/>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征询函4</w:t>
      </w:r>
    </w:p>
    <w:p>
      <w:pP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台州市发展</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ascii="仿宋_GB2312" w:hAnsi="仿宋_GB2312" w:eastAsia="仿宋_GB2312" w:cs="仿宋_GB2312"/>
          <w:color w:val="000000" w:themeColor="text1"/>
          <w:sz w:val="32"/>
          <w:szCs w:val="32"/>
          <w14:textFill>
            <w14:solidFill>
              <w14:schemeClr w14:val="tx1"/>
            </w14:solidFill>
          </w14:textFill>
        </w:rPr>
        <w:t>改革委员会</w:t>
      </w:r>
      <w:r>
        <w:rPr>
          <w:rFonts w:hint="eastAsia" w:ascii="仿宋_GB2312" w:hAnsi="仿宋_GB2312" w:eastAsia="仿宋_GB2312" w:cs="仿宋_GB2312"/>
          <w:color w:val="000000" w:themeColor="text1"/>
          <w:sz w:val="32"/>
          <w:szCs w:val="32"/>
          <w14:textFill>
            <w14:solidFill>
              <w14:schemeClr w14:val="tx1"/>
            </w14:solidFill>
          </w14:textFill>
        </w:rPr>
        <w:t>、中国人民银行：</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因核查医药机构申请医保新增定点工作的需要，现请贵单位函证截止</w:t>
      </w:r>
      <w:r>
        <w:rPr>
          <w:rFonts w:hint="eastAsia" w:ascii="仿宋" w:hAnsi="仿宋" w:eastAsia="仿宋" w:cs="仿宋"/>
          <w:color w:val="000000" w:themeColor="text1"/>
          <w:sz w:val="32"/>
          <w:szCs w:val="32"/>
          <w14:textFill>
            <w14:solidFill>
              <w14:schemeClr w14:val="tx1"/>
            </w14:solidFill>
          </w14:textFill>
        </w:rPr>
        <w:t>XXXX</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14:textFill>
            <w14:solidFill>
              <w14:schemeClr w14:val="tx1"/>
            </w14:solidFill>
          </w14:textFill>
        </w:rPr>
        <w:t>XX</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14:textFill>
            <w14:solidFill>
              <w14:schemeClr w14:val="tx1"/>
            </w14:solidFill>
          </w14:textFill>
        </w:rPr>
        <w:t>XX</w:t>
      </w:r>
      <w:r>
        <w:rPr>
          <w:rFonts w:hint="eastAsia" w:ascii="仿宋_GB2312" w:hAnsi="仿宋_GB2312" w:eastAsia="仿宋_GB2312" w:cs="仿宋_GB2312"/>
          <w:color w:val="000000" w:themeColor="text1"/>
          <w:sz w:val="32"/>
          <w:szCs w:val="32"/>
          <w14:textFill>
            <w14:solidFill>
              <w14:schemeClr w14:val="tx1"/>
            </w14:solidFill>
          </w14:textFill>
        </w:rPr>
        <w:t>日,以下单位法定代表人、主要负责人、实际控制人（详见附表）是否被列入失信人名单：</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ascii="仿宋_GB2312" w:hAnsi="仿宋" w:eastAsia="仿宋_GB2312" w:cs="仿宋"/>
          <w:color w:val="000000" w:themeColor="text1"/>
          <w:spacing w:val="3"/>
          <w:sz w:val="32"/>
          <w:szCs w:val="32"/>
          <w14:textFill>
            <w14:solidFill>
              <w14:schemeClr w14:val="tx1"/>
            </w14:solidFill>
          </w14:textFill>
        </w:rPr>
      </w:pPr>
      <w:r>
        <w:rPr>
          <w:rFonts w:hint="eastAsia" w:ascii="仿宋_GB2312" w:hAnsi="仿宋" w:eastAsia="仿宋_GB2312" w:cs="仿宋"/>
          <w:color w:val="000000" w:themeColor="text1"/>
          <w:spacing w:val="3"/>
          <w:sz w:val="32"/>
          <w:szCs w:val="32"/>
          <w14:textFill>
            <w14:solidFill>
              <w14:schemeClr w14:val="tx1"/>
            </w14:solidFill>
          </w14:textFill>
        </w:rPr>
        <w:t>附表</w:t>
      </w:r>
      <w:r>
        <w:rPr>
          <w:rFonts w:ascii="仿宋_GB2312" w:hAnsi="仿宋" w:eastAsia="仿宋_GB2312" w:cs="仿宋"/>
          <w:color w:val="000000" w:themeColor="text1"/>
          <w:spacing w:val="3"/>
          <w:sz w:val="32"/>
          <w:szCs w:val="32"/>
          <w14:textFill>
            <w14:solidFill>
              <w14:schemeClr w14:val="tx1"/>
            </w14:solidFill>
          </w14:textFill>
        </w:rPr>
        <w:t>：</w:t>
      </w:r>
      <w:r>
        <w:rPr>
          <w:rFonts w:hint="eastAsia" w:ascii="仿宋_GB2312" w:hAnsi="仿宋" w:eastAsia="仿宋_GB2312" w:cs="仿宋"/>
          <w:color w:val="000000" w:themeColor="text1"/>
          <w:spacing w:val="3"/>
          <w:sz w:val="32"/>
          <w:szCs w:val="32"/>
          <w14:textFill>
            <w14:solidFill>
              <w14:schemeClr w14:val="tx1"/>
            </w14:solidFill>
          </w14:textFill>
        </w:rPr>
        <w:t>（此表可作函询回单）</w:t>
      </w:r>
    </w:p>
    <w:tbl>
      <w:tblPr>
        <w:tblStyle w:val="7"/>
        <w:tblW w:w="10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01"/>
        <w:gridCol w:w="2417"/>
        <w:gridCol w:w="2165"/>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序号</w:t>
            </w:r>
          </w:p>
        </w:tc>
        <w:tc>
          <w:tcPr>
            <w:tcW w:w="2801"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单位名称</w:t>
            </w:r>
          </w:p>
        </w:tc>
        <w:tc>
          <w:tcPr>
            <w:tcW w:w="2417"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法定代表人（主要负责人、实际控制人）</w:t>
            </w:r>
          </w:p>
        </w:tc>
        <w:tc>
          <w:tcPr>
            <w:tcW w:w="2165"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身份证</w:t>
            </w:r>
            <w:r>
              <w:rPr>
                <w:rFonts w:ascii="仿宋" w:hAnsi="仿宋" w:eastAsia="仿宋" w:cs="仿宋"/>
                <w:color w:val="000000" w:themeColor="text1"/>
                <w:sz w:val="28"/>
                <w:szCs w:val="28"/>
                <w14:textFill>
                  <w14:solidFill>
                    <w14:schemeClr w14:val="tx1"/>
                  </w14:solidFill>
                </w14:textFill>
              </w:rPr>
              <w:t>号码</w:t>
            </w:r>
          </w:p>
        </w:tc>
        <w:tc>
          <w:tcPr>
            <w:tcW w:w="1750" w:type="dxa"/>
            <w:vAlign w:val="center"/>
          </w:tcPr>
          <w:p>
            <w:pPr>
              <w:spacing w:line="36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存在情况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2801"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417"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65" w:type="dxa"/>
          </w:tcPr>
          <w:p>
            <w:pPr>
              <w:jc w:val="center"/>
              <w:rPr>
                <w:rFonts w:ascii="仿宋" w:hAnsi="仿宋" w:eastAsia="仿宋" w:cs="仿宋"/>
                <w:color w:val="000000" w:themeColor="text1"/>
                <w:sz w:val="32"/>
                <w:szCs w:val="32"/>
                <w14:textFill>
                  <w14:solidFill>
                    <w14:schemeClr w14:val="tx1"/>
                  </w14:solidFill>
                </w14:textFill>
              </w:rPr>
            </w:pPr>
          </w:p>
        </w:tc>
        <w:tc>
          <w:tcPr>
            <w:tcW w:w="1750" w:type="dxa"/>
            <w:vAlign w:val="center"/>
          </w:tcPr>
          <w:p>
            <w:pPr>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2801"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417"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65" w:type="dxa"/>
          </w:tcPr>
          <w:p>
            <w:pPr>
              <w:jc w:val="center"/>
              <w:rPr>
                <w:rFonts w:ascii="仿宋" w:hAnsi="仿宋" w:eastAsia="仿宋" w:cs="仿宋"/>
                <w:color w:val="000000" w:themeColor="text1"/>
                <w:sz w:val="32"/>
                <w:szCs w:val="32"/>
                <w14:textFill>
                  <w14:solidFill>
                    <w14:schemeClr w14:val="tx1"/>
                  </w14:solidFill>
                </w14:textFill>
              </w:rPr>
            </w:pPr>
          </w:p>
        </w:tc>
        <w:tc>
          <w:tcPr>
            <w:tcW w:w="1750" w:type="dxa"/>
            <w:vAlign w:val="center"/>
          </w:tcPr>
          <w:p>
            <w:pPr>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p>
        </w:tc>
        <w:tc>
          <w:tcPr>
            <w:tcW w:w="2801"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417" w:type="dxa"/>
            <w:vAlign w:val="center"/>
          </w:tcPr>
          <w:p>
            <w:pPr>
              <w:jc w:val="center"/>
              <w:rPr>
                <w:rFonts w:ascii="仿宋" w:hAnsi="仿宋" w:eastAsia="仿宋" w:cs="仿宋"/>
                <w:color w:val="000000" w:themeColor="text1"/>
                <w:sz w:val="32"/>
                <w:szCs w:val="32"/>
                <w14:textFill>
                  <w14:solidFill>
                    <w14:schemeClr w14:val="tx1"/>
                  </w14:solidFill>
                </w14:textFill>
              </w:rPr>
            </w:pPr>
          </w:p>
        </w:tc>
        <w:tc>
          <w:tcPr>
            <w:tcW w:w="2165" w:type="dxa"/>
          </w:tcPr>
          <w:p>
            <w:pPr>
              <w:jc w:val="center"/>
              <w:rPr>
                <w:rFonts w:ascii="仿宋" w:hAnsi="仿宋" w:eastAsia="仿宋" w:cs="仿宋"/>
                <w:color w:val="000000" w:themeColor="text1"/>
                <w:sz w:val="32"/>
                <w:szCs w:val="32"/>
                <w14:textFill>
                  <w14:solidFill>
                    <w14:schemeClr w14:val="tx1"/>
                  </w14:solidFill>
                </w14:textFill>
              </w:rPr>
            </w:pPr>
          </w:p>
        </w:tc>
        <w:tc>
          <w:tcPr>
            <w:tcW w:w="1750" w:type="dxa"/>
            <w:vAlign w:val="center"/>
          </w:tcPr>
          <w:p>
            <w:pPr>
              <w:jc w:val="center"/>
              <w:rPr>
                <w:rFonts w:ascii="仿宋" w:hAnsi="仿宋" w:eastAsia="仿宋" w:cs="仿宋"/>
                <w:color w:val="000000" w:themeColor="text1"/>
                <w:sz w:val="32"/>
                <w:szCs w:val="32"/>
                <w14:textFill>
                  <w14:solidFill>
                    <w14:schemeClr w14:val="tx1"/>
                  </w14:solidFill>
                </w14:textFill>
              </w:rPr>
            </w:pPr>
          </w:p>
        </w:tc>
      </w:tr>
    </w:tbl>
    <w:p>
      <w:pPr>
        <w:widowControl/>
        <w:jc w:val="left"/>
        <w:rPr>
          <w:b/>
          <w:bCs/>
          <w:color w:val="000000" w:themeColor="text1"/>
          <w14:textFill>
            <w14:solidFill>
              <w14:schemeClr w14:val="tx1"/>
            </w14:solidFill>
          </w14:textFill>
        </w:rPr>
      </w:pPr>
    </w:p>
    <w:p>
      <w:pPr>
        <w:rPr>
          <w:rFonts w:ascii="仿宋_GB2312" w:hAnsi="仿宋_GB2312" w:eastAsia="仿宋_GB2312" w:cs="仿宋_GB2312"/>
          <w:color w:val="000000" w:themeColor="text1"/>
          <w:sz w:val="32"/>
          <w:szCs w:val="40"/>
          <w14:textFill>
            <w14:solidFill>
              <w14:schemeClr w14:val="tx1"/>
            </w14:solidFill>
          </w14:textFill>
        </w:rPr>
      </w:pPr>
    </w:p>
    <w:p>
      <w:pPr>
        <w:rPr>
          <w:rFonts w:ascii="仿宋_GB2312" w:hAnsi="仿宋_GB2312" w:eastAsia="仿宋_GB2312" w:cs="仿宋_GB2312"/>
          <w:color w:val="000000" w:themeColor="text1"/>
          <w:sz w:val="32"/>
          <w:szCs w:val="40"/>
          <w14:textFill>
            <w14:solidFill>
              <w14:schemeClr w14:val="tx1"/>
            </w14:solidFill>
          </w14:textFill>
        </w:rPr>
      </w:pPr>
    </w:p>
    <w:p>
      <w:pPr>
        <w:pStyle w:val="2"/>
        <w:rPr>
          <w:rFonts w:ascii="仿宋_GB2312" w:hAnsi="仿宋_GB2312" w:eastAsia="仿宋_GB2312" w:cs="仿宋_GB2312"/>
          <w:color w:val="000000" w:themeColor="text1"/>
          <w:sz w:val="32"/>
          <w:szCs w:val="40"/>
          <w14:textFill>
            <w14:solidFill>
              <w14:schemeClr w14:val="tx1"/>
            </w14:solidFill>
          </w14:textFill>
        </w:rPr>
      </w:pPr>
    </w:p>
    <w:p/>
    <w:p>
      <w:pPr>
        <w:pStyle w:val="2"/>
      </w:pPr>
    </w:p>
    <w:p/>
    <w:p>
      <w:pPr>
        <w:pStyle w:val="2"/>
      </w:pPr>
    </w:p>
    <w:p>
      <w:pPr>
        <w:rPr>
          <w:rFonts w:ascii="仿宋_GB2312" w:hAnsi="仿宋_GB2312" w:eastAsia="仿宋_GB2312" w:cs="仿宋_GB2312"/>
          <w:color w:val="000000" w:themeColor="text1"/>
          <w:sz w:val="32"/>
          <w:szCs w:val="40"/>
          <w14:textFill>
            <w14:solidFill>
              <w14:schemeClr w14:val="tx1"/>
            </w14:solidFill>
          </w14:textFill>
        </w:rPr>
      </w:pPr>
    </w:p>
    <w:p>
      <w:pPr>
        <w:pStyle w:val="2"/>
      </w:pPr>
    </w:p>
    <w:p/>
    <w:p/>
    <w:p/>
    <w:p>
      <w:pPr>
        <w:ind w:firstLine="163" w:firstLineChars="78"/>
      </w:pPr>
      <w:r>
        <w:rPr>
          <w:rFonts w:hint="eastAsia"/>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17780</wp:posOffset>
                </wp:positionV>
                <wp:extent cx="5507990" cy="15240"/>
                <wp:effectExtent l="0" t="6350" r="3810" b="16510"/>
                <wp:wrapNone/>
                <wp:docPr id="5" name="直接连接符 5"/>
                <wp:cNvGraphicFramePr/>
                <a:graphic xmlns:a="http://schemas.openxmlformats.org/drawingml/2006/main">
                  <a:graphicData uri="http://schemas.microsoft.com/office/word/2010/wordprocessingShape">
                    <wps:wsp>
                      <wps:cNvCnPr/>
                      <wps:spPr>
                        <a:xfrm>
                          <a:off x="0" y="0"/>
                          <a:ext cx="5507990" cy="15240"/>
                        </a:xfrm>
                        <a:prstGeom prst="line">
                          <a:avLst/>
                        </a:prstGeom>
                        <a:ln w="12700" cap="flat" cmpd="sng">
                          <a:solidFill>
                            <a:srgbClr val="000000"/>
                          </a:solidFill>
                          <a:prstDash val="solid"/>
                          <a:round/>
                          <a:headEnd type="none" w="med" len="med"/>
                          <a:tailEnd type="none" w="med" len="med"/>
                        </a:ln>
                      </wps:spPr>
                      <wps:bodyPr/>
                    </wps:wsp>
                  </a:graphicData>
                </a:graphic>
              </wp:anchor>
            </w:drawing>
          </mc:Choice>
          <mc:Fallback>
            <w:pict>
              <v:line id="_x0000_s1026" o:spid="_x0000_s1026" o:spt="20" style="position:absolute;left:0pt;margin-left:-5.2pt;margin-top:1.4pt;height:1.2pt;width:433.7pt;z-index:251662336;mso-width-relative:page;mso-height-relative:page;" filled="f" stroked="t" coordsize="21600,21600" o:gfxdata="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H+j01wAAAAcBAAAPAAAAAAAAAAEAIAAAACIAAABkcnMvZG93bnJldi54bWxQSwEC&#10;FAAUAAAACACHTuJACvbAfPUBAADnAwAADgAAAAAAAAABACAAAAAmAQAAZHJzL2Uyb0RvYy54bWxQ&#10;SwUGAAAAAAYABgBZAQAAjQUAAAAA&#10;">
                <v:fill on="f" focussize="0,0"/>
                <v:stroke weight="1pt"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398145</wp:posOffset>
                </wp:positionV>
                <wp:extent cx="5507990" cy="5715"/>
                <wp:effectExtent l="0" t="6350" r="3810" b="6985"/>
                <wp:wrapNone/>
                <wp:docPr id="4" name="直接连接符 4"/>
                <wp:cNvGraphicFramePr/>
                <a:graphic xmlns:a="http://schemas.openxmlformats.org/drawingml/2006/main">
                  <a:graphicData uri="http://schemas.microsoft.com/office/word/2010/wordprocessingShape">
                    <wps:wsp>
                      <wps:cNvCnPr/>
                      <wps:spPr>
                        <a:xfrm flipV="1">
                          <a:off x="0" y="0"/>
                          <a:ext cx="5507990" cy="571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5.85pt;margin-top:31.35pt;height:0.45pt;width:433.7pt;z-index:251663360;mso-width-relative:page;mso-height-relative:page;" filled="f" stroked="t" coordsize="21600,21600" o:gfxdata="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jw0O9gAAAAJAQAADwAAAAAAAAABACAAAAAiAAAAZHJzL2Rvd25yZXYueG1sUEsB&#10;AhQAFAAAAAgAh07iQHUvbxr1AQAA5gMAAA4AAAAAAAAAAQAgAAAAJwEAAGRycy9lMm9Eb2MueG1s&#10;UEsFBgAAAAAGAAYAWQEAAI4FAAAAAA==&#10;">
                <v:fill on="f" focussize="0,0"/>
                <v:stroke weight="1pt" color="#000000" joinstyle="round"/>
                <v:imagedata o:title=""/>
                <o:lock v:ext="edit" aspectratio="f"/>
              </v:line>
            </w:pict>
          </mc:Fallback>
        </mc:AlternateContent>
      </w:r>
      <w:r>
        <w:rPr>
          <w:rFonts w:hint="eastAsia" w:ascii="仿宋_GB2312" w:eastAsia="仿宋_GB2312"/>
          <w:sz w:val="28"/>
          <w:szCs w:val="28"/>
        </w:rPr>
        <w:t>台州市医疗保障局办公室                 2022年4月20日印发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小标宋">
    <w:altName w:val="微软雅黑"/>
    <w:panose1 w:val="00000000000000000000"/>
    <w:charset w:val="86"/>
    <w:family w:val="script"/>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34"/>
      <w:rPr>
        <w:rFonts w:ascii="幼圆" w:hAnsi="幼圆" w:eastAsia="幼圆" w:cs="幼圆"/>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15605"/>
    <w:multiLevelType w:val="singleLevel"/>
    <w:tmpl w:val="AC115605"/>
    <w:lvl w:ilvl="0" w:tentative="0">
      <w:start w:val="7"/>
      <w:numFmt w:val="chineseCounting"/>
      <w:suff w:val="space"/>
      <w:lvlText w:val="第%1章"/>
      <w:lvlJc w:val="left"/>
      <w:rPr>
        <w:rFonts w:hint="eastAsia"/>
      </w:rPr>
    </w:lvl>
  </w:abstractNum>
  <w:abstractNum w:abstractNumId="1">
    <w:nsid w:val="AC797B19"/>
    <w:multiLevelType w:val="singleLevel"/>
    <w:tmpl w:val="AC797B19"/>
    <w:lvl w:ilvl="0" w:tentative="0">
      <w:start w:val="6"/>
      <w:numFmt w:val="chineseCounting"/>
      <w:suff w:val="space"/>
      <w:lvlText w:val="第%1章"/>
      <w:lvlJc w:val="left"/>
      <w:rPr>
        <w:rFonts w:hint="eastAsia"/>
      </w:rPr>
    </w:lvl>
  </w:abstractNum>
  <w:abstractNum w:abstractNumId="2">
    <w:nsid w:val="2C590577"/>
    <w:multiLevelType w:val="singleLevel"/>
    <w:tmpl w:val="2C590577"/>
    <w:lvl w:ilvl="0" w:tentative="0">
      <w:start w:val="1"/>
      <w:numFmt w:val="chineseCounting"/>
      <w:suff w:val="space"/>
      <w:lvlText w:val="第%1章"/>
      <w:lvlJc w:val="left"/>
      <w:rPr>
        <w:rFonts w:hint="eastAsia"/>
      </w:rPr>
    </w:lvl>
  </w:abstractNum>
  <w:abstractNum w:abstractNumId="3">
    <w:nsid w:val="519F34BA"/>
    <w:multiLevelType w:val="singleLevel"/>
    <w:tmpl w:val="519F34BA"/>
    <w:lvl w:ilvl="0" w:tentative="0">
      <w:start w:val="5"/>
      <w:numFmt w:val="chineseCounting"/>
      <w:suff w:val="space"/>
      <w:lvlText w:val="第%1章"/>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N2M1YjI5N2Y1ZWNiODgwMzk4OWQ1ZWRjZjkyNWIifQ=="/>
  </w:docVars>
  <w:rsids>
    <w:rsidRoot w:val="E777AEBC"/>
    <w:rsid w:val="00033C4D"/>
    <w:rsid w:val="00051585"/>
    <w:rsid w:val="00056EE9"/>
    <w:rsid w:val="000C0745"/>
    <w:rsid w:val="000E195E"/>
    <w:rsid w:val="000E414D"/>
    <w:rsid w:val="000F095E"/>
    <w:rsid w:val="0014455F"/>
    <w:rsid w:val="00151A9D"/>
    <w:rsid w:val="00184374"/>
    <w:rsid w:val="00185CDB"/>
    <w:rsid w:val="001C13EC"/>
    <w:rsid w:val="001C55E3"/>
    <w:rsid w:val="00204CE6"/>
    <w:rsid w:val="002423EE"/>
    <w:rsid w:val="002867C2"/>
    <w:rsid w:val="002A7EF6"/>
    <w:rsid w:val="002C4344"/>
    <w:rsid w:val="00315ED9"/>
    <w:rsid w:val="00324585"/>
    <w:rsid w:val="00344D0F"/>
    <w:rsid w:val="003966A8"/>
    <w:rsid w:val="003A1AB8"/>
    <w:rsid w:val="00406C3A"/>
    <w:rsid w:val="00442974"/>
    <w:rsid w:val="00447E99"/>
    <w:rsid w:val="00451DCA"/>
    <w:rsid w:val="004974AE"/>
    <w:rsid w:val="004A7C27"/>
    <w:rsid w:val="004D1F66"/>
    <w:rsid w:val="004D5C23"/>
    <w:rsid w:val="005116F6"/>
    <w:rsid w:val="00586AC9"/>
    <w:rsid w:val="005E14D7"/>
    <w:rsid w:val="00634010"/>
    <w:rsid w:val="00667C93"/>
    <w:rsid w:val="00680B1D"/>
    <w:rsid w:val="0069234F"/>
    <w:rsid w:val="007413E5"/>
    <w:rsid w:val="00761E28"/>
    <w:rsid w:val="00774171"/>
    <w:rsid w:val="00783594"/>
    <w:rsid w:val="00793381"/>
    <w:rsid w:val="00825D30"/>
    <w:rsid w:val="00830ED7"/>
    <w:rsid w:val="00885445"/>
    <w:rsid w:val="008B1F9C"/>
    <w:rsid w:val="008C7B7D"/>
    <w:rsid w:val="0091690C"/>
    <w:rsid w:val="00920621"/>
    <w:rsid w:val="00967BDD"/>
    <w:rsid w:val="009C6D81"/>
    <w:rsid w:val="00A36CCC"/>
    <w:rsid w:val="00A8134E"/>
    <w:rsid w:val="00A85963"/>
    <w:rsid w:val="00AB72F4"/>
    <w:rsid w:val="00AC01F8"/>
    <w:rsid w:val="00AF1F38"/>
    <w:rsid w:val="00B06B19"/>
    <w:rsid w:val="00B330CF"/>
    <w:rsid w:val="00B36E97"/>
    <w:rsid w:val="00B44E05"/>
    <w:rsid w:val="00B54C5D"/>
    <w:rsid w:val="00BC1601"/>
    <w:rsid w:val="00BD5090"/>
    <w:rsid w:val="00BF7150"/>
    <w:rsid w:val="00C016F6"/>
    <w:rsid w:val="00C62054"/>
    <w:rsid w:val="00CC2DB8"/>
    <w:rsid w:val="00CD2D99"/>
    <w:rsid w:val="00CD3A0F"/>
    <w:rsid w:val="00D30DC5"/>
    <w:rsid w:val="00D43308"/>
    <w:rsid w:val="00D5013F"/>
    <w:rsid w:val="00DC1CDE"/>
    <w:rsid w:val="00E51EF1"/>
    <w:rsid w:val="00E67AE6"/>
    <w:rsid w:val="00EA129D"/>
    <w:rsid w:val="00ED3BC2"/>
    <w:rsid w:val="00F40ABB"/>
    <w:rsid w:val="00F57F7E"/>
    <w:rsid w:val="00F64278"/>
    <w:rsid w:val="00FA7585"/>
    <w:rsid w:val="00FB5D7E"/>
    <w:rsid w:val="068D2959"/>
    <w:rsid w:val="088F1A65"/>
    <w:rsid w:val="0B067721"/>
    <w:rsid w:val="0B3B005B"/>
    <w:rsid w:val="0C560658"/>
    <w:rsid w:val="122E5BB5"/>
    <w:rsid w:val="1AD02149"/>
    <w:rsid w:val="1CDD4943"/>
    <w:rsid w:val="1E2974F8"/>
    <w:rsid w:val="1E675B23"/>
    <w:rsid w:val="226F3C7E"/>
    <w:rsid w:val="28FC2AFA"/>
    <w:rsid w:val="2C944092"/>
    <w:rsid w:val="30474804"/>
    <w:rsid w:val="311304A2"/>
    <w:rsid w:val="3BDA477E"/>
    <w:rsid w:val="3DC878FA"/>
    <w:rsid w:val="3E0D2AB2"/>
    <w:rsid w:val="3EF17B4B"/>
    <w:rsid w:val="49AD5280"/>
    <w:rsid w:val="49ED9E3E"/>
    <w:rsid w:val="4B893655"/>
    <w:rsid w:val="4D3AFBBA"/>
    <w:rsid w:val="54A2689B"/>
    <w:rsid w:val="57800D1F"/>
    <w:rsid w:val="58BFD929"/>
    <w:rsid w:val="59B5066F"/>
    <w:rsid w:val="5B276791"/>
    <w:rsid w:val="5D2B3CE7"/>
    <w:rsid w:val="5E7FAAEB"/>
    <w:rsid w:val="60CA68E4"/>
    <w:rsid w:val="6BA0659B"/>
    <w:rsid w:val="6BDD8859"/>
    <w:rsid w:val="6DD62D18"/>
    <w:rsid w:val="6EFF409C"/>
    <w:rsid w:val="70AA2D3C"/>
    <w:rsid w:val="72FF5C09"/>
    <w:rsid w:val="75E74F8A"/>
    <w:rsid w:val="77356218"/>
    <w:rsid w:val="794013BD"/>
    <w:rsid w:val="7BDF876F"/>
    <w:rsid w:val="7EDF1054"/>
    <w:rsid w:val="7F675F0F"/>
    <w:rsid w:val="7FCA84BE"/>
    <w:rsid w:val="C7DD7430"/>
    <w:rsid w:val="D7BFBEFF"/>
    <w:rsid w:val="E777AEBC"/>
    <w:rsid w:val="EDCF0BD5"/>
    <w:rsid w:val="F7EFD0CA"/>
    <w:rsid w:val="F7F67D68"/>
    <w:rsid w:val="FF74D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Default"/>
    <w:basedOn w:val="1"/>
    <w:qFormat/>
    <w:uiPriority w:val="0"/>
    <w:pPr>
      <w:autoSpaceDE w:val="0"/>
      <w:autoSpaceDN w:val="0"/>
      <w:adjustRightInd w:val="0"/>
      <w:jc w:val="left"/>
    </w:pPr>
    <w:rPr>
      <w:rFonts w:ascii="Arial Unicode MS" w:hAnsi="Calibri" w:eastAsia="Arial Unicode MS"/>
      <w:color w:val="000000"/>
      <w:kern w:val="0"/>
      <w:sz w:val="24"/>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15083</Words>
  <Characters>15806</Characters>
  <Lines>132</Lines>
  <Paragraphs>37</Paragraphs>
  <TotalTime>6</TotalTime>
  <ScaleCrop>false</ScaleCrop>
  <LinksUpToDate>false</LinksUpToDate>
  <CharactersWithSpaces>16527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2022-02-22T21:05:00Z</dcterms:created>
  <dc:creator>administrator</dc:creator>
  <cp:lastModifiedBy>Administrator</cp:lastModifiedBy>
  <cp:lastPrinted>2022-04-20T08:34:00Z</cp:lastPrinted>
  <dcterms:modified xsi:type="dcterms:W3CDTF">2022-06-29T06:57:50Z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C57215CD09DB4697B163B324B511F564</vt:lpwstr>
  </property>
</Properties>
</file>